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B8956" w14:textId="31CD20E1" w:rsidR="00CF6EBE" w:rsidRPr="000D4102" w:rsidRDefault="00CF6EBE" w:rsidP="00CF6EBE">
      <w:pPr>
        <w:pStyle w:val="Header"/>
        <w:jc w:val="both"/>
        <w:rPr>
          <w:bCs/>
          <w:sz w:val="24"/>
        </w:rPr>
      </w:pPr>
      <w:r w:rsidRPr="007C2EB1">
        <w:rPr>
          <w:bCs/>
          <w:sz w:val="24"/>
        </w:rPr>
        <w:t xml:space="preserve">3GPP TSG RAN WG1 </w:t>
      </w:r>
      <w:r w:rsidRPr="006C0358">
        <w:rPr>
          <w:bCs/>
          <w:sz w:val="24"/>
        </w:rPr>
        <w:t>#99</w:t>
      </w:r>
      <w:r w:rsidRPr="006C0358">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t xml:space="preserve">       </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rFonts w:cs="Arial"/>
          <w:b w:val="0"/>
          <w:bCs/>
          <w:sz w:val="28"/>
        </w:rPr>
        <w:tab/>
      </w:r>
      <w:r w:rsidRPr="007C2EB1">
        <w:rPr>
          <w:rFonts w:cs="Arial"/>
          <w:b w:val="0"/>
          <w:bCs/>
          <w:sz w:val="28"/>
        </w:rPr>
        <w:tab/>
      </w:r>
      <w:r w:rsidR="0023397C" w:rsidRPr="0023397C">
        <w:rPr>
          <w:bCs/>
          <w:sz w:val="24"/>
        </w:rPr>
        <w:t>R1-1913051</w:t>
      </w:r>
    </w:p>
    <w:p w14:paraId="0760903F" w14:textId="77777777" w:rsidR="00CF6EBE" w:rsidRPr="00DE6959" w:rsidRDefault="00CF6EBE" w:rsidP="00CF6EBE">
      <w:pPr>
        <w:pStyle w:val="Header"/>
        <w:tabs>
          <w:tab w:val="right" w:pos="9639"/>
        </w:tabs>
        <w:rPr>
          <w:bCs/>
          <w:sz w:val="24"/>
        </w:rPr>
      </w:pPr>
      <w:r w:rsidRPr="006C0358">
        <w:rPr>
          <w:bCs/>
          <w:sz w:val="24"/>
        </w:rPr>
        <w:t>Reno, USA, November 18th – 22nd, 2019</w:t>
      </w:r>
    </w:p>
    <w:p w14:paraId="68F99E68" w14:textId="61112BC4" w:rsidR="008D65CD" w:rsidRPr="008D65CD" w:rsidRDefault="008D65CD" w:rsidP="008D65CD">
      <w:pPr>
        <w:pStyle w:val="Header"/>
        <w:tabs>
          <w:tab w:val="right" w:pos="9639"/>
        </w:tabs>
        <w:rPr>
          <w:noProof w:val="0"/>
          <w:sz w:val="24"/>
        </w:rPr>
      </w:pPr>
    </w:p>
    <w:p w14:paraId="3587D698" w14:textId="77777777" w:rsidR="002E2FAF" w:rsidRPr="008D65CD" w:rsidRDefault="002E2FAF">
      <w:pPr>
        <w:pStyle w:val="RecCCITT"/>
        <w:keepNext w:val="0"/>
        <w:keepLines w:val="0"/>
        <w:rPr>
          <w:rFonts w:ascii="Arial" w:hAnsi="Arial"/>
        </w:rPr>
      </w:pPr>
    </w:p>
    <w:p w14:paraId="37406893"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3CF8A3B2" w14:textId="302F6AD1"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65D84" w:rsidRPr="00F65D84">
        <w:rPr>
          <w:rFonts w:ascii="Arial" w:hAnsi="Arial"/>
          <w:sz w:val="24"/>
        </w:rPr>
        <w:t>Discussion on</w:t>
      </w:r>
      <w:r w:rsidR="00B62A6A">
        <w:rPr>
          <w:rFonts w:ascii="Arial" w:hAnsi="Arial"/>
          <w:sz w:val="24"/>
        </w:rPr>
        <w:tab/>
        <w:t>p</w:t>
      </w:r>
      <w:r w:rsidR="00B62A6A" w:rsidRPr="00B62A6A">
        <w:rPr>
          <w:rFonts w:ascii="Arial" w:hAnsi="Arial"/>
          <w:sz w:val="24"/>
        </w:rPr>
        <w:t>rocedure of cross-slot scheduling power saving techniques</w:t>
      </w:r>
    </w:p>
    <w:p w14:paraId="29ACCAC4" w14:textId="08F6967F" w:rsidR="002E2FAF" w:rsidRPr="003B6B65" w:rsidRDefault="002E2FAF" w:rsidP="00B02CB3">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C950FC">
        <w:rPr>
          <w:rFonts w:ascii="Arial" w:hAnsi="Arial"/>
          <w:sz w:val="24"/>
        </w:rPr>
        <w:t>7.2.9.2</w:t>
      </w:r>
    </w:p>
    <w:p w14:paraId="64EB98A4" w14:textId="6E42445C" w:rsidR="002E2FAF" w:rsidRDefault="002E2FAF" w:rsidP="00B02CB3">
      <w:pPr>
        <w:tabs>
          <w:tab w:val="left" w:pos="2127"/>
        </w:tabs>
        <w:spacing w:before="120" w:after="0"/>
        <w:rPr>
          <w:rFonts w:ascii="Arial" w:hAnsi="Arial"/>
          <w:sz w:val="24"/>
        </w:rPr>
      </w:pPr>
      <w:r>
        <w:rPr>
          <w:rFonts w:ascii="Arial" w:hAnsi="Arial"/>
          <w:b/>
          <w:sz w:val="24"/>
        </w:rPr>
        <w:t>Document for:</w:t>
      </w:r>
      <w:r w:rsidR="000B5FCF">
        <w:rPr>
          <w:rFonts w:ascii="Arial" w:hAnsi="Arial"/>
          <w:sz w:val="24"/>
        </w:rPr>
        <w:tab/>
        <w:t>Discussion</w:t>
      </w:r>
      <w:r w:rsidR="00CF6EBE">
        <w:rPr>
          <w:rFonts w:ascii="Arial" w:hAnsi="Arial"/>
          <w:sz w:val="24"/>
        </w:rPr>
        <w:t xml:space="preserve"> and decision</w:t>
      </w:r>
    </w:p>
    <w:p w14:paraId="3D4BCACF" w14:textId="77777777" w:rsidR="002E2FAF" w:rsidRDefault="002E2FAF">
      <w:pPr>
        <w:pStyle w:val="Heading1"/>
      </w:pPr>
      <w:r>
        <w:t>Introduction</w:t>
      </w:r>
    </w:p>
    <w:p w14:paraId="5F819900" w14:textId="6D727004" w:rsidR="00DD639E" w:rsidRDefault="00DD639E" w:rsidP="00F625DF">
      <w:pPr>
        <w:rPr>
          <w:rFonts w:cs="Arial"/>
          <w:lang w:val="en-US"/>
        </w:rPr>
      </w:pPr>
    </w:p>
    <w:p w14:paraId="252C3C4B" w14:textId="130C2413" w:rsidR="00AC7D73" w:rsidRDefault="00AC7D73" w:rsidP="00F625DF">
      <w:pPr>
        <w:rPr>
          <w:rFonts w:cs="Arial"/>
          <w:lang w:val="en-US"/>
        </w:rPr>
      </w:pPr>
      <w:r>
        <w:rPr>
          <w:rFonts w:cs="Arial"/>
          <w:lang w:val="en-US"/>
        </w:rPr>
        <w:t>In the</w:t>
      </w:r>
      <w:r w:rsidR="004A4285">
        <w:rPr>
          <w:rFonts w:cs="Arial"/>
          <w:lang w:val="en-US"/>
        </w:rPr>
        <w:t xml:space="preserve"> </w:t>
      </w:r>
      <w:r w:rsidR="00FA5DFC">
        <w:rPr>
          <w:rFonts w:cs="Arial"/>
          <w:lang w:val="en-US"/>
        </w:rPr>
        <w:t>RAN1 #98</w:t>
      </w:r>
      <w:r w:rsidR="00D77C45">
        <w:rPr>
          <w:rFonts w:cs="Arial"/>
          <w:lang w:val="en-US"/>
        </w:rPr>
        <w:t>bis</w:t>
      </w:r>
      <w:r w:rsidR="00FA5DFC">
        <w:rPr>
          <w:rFonts w:cs="Arial"/>
          <w:lang w:val="en-US"/>
        </w:rPr>
        <w:t xml:space="preserve"> meeting</w:t>
      </w:r>
      <w:r w:rsidR="004A4285">
        <w:rPr>
          <w:rFonts w:cs="Arial"/>
          <w:lang w:val="en-US"/>
        </w:rPr>
        <w:t xml:space="preserve">, </w:t>
      </w:r>
      <w:r>
        <w:rPr>
          <w:rFonts w:cs="Arial"/>
          <w:lang w:val="en-US"/>
        </w:rPr>
        <w:t>agreement</w:t>
      </w:r>
      <w:r w:rsidR="004A4285">
        <w:rPr>
          <w:rFonts w:cs="Arial"/>
          <w:lang w:val="en-US"/>
        </w:rPr>
        <w:t xml:space="preserve">s </w:t>
      </w:r>
      <w:r w:rsidR="00465686">
        <w:rPr>
          <w:rFonts w:cs="Arial"/>
          <w:lang w:val="en-US"/>
        </w:rPr>
        <w:t xml:space="preserve">[1] </w:t>
      </w:r>
      <w:r w:rsidR="004A4285">
        <w:rPr>
          <w:rFonts w:cs="Arial"/>
          <w:lang w:val="en-US"/>
        </w:rPr>
        <w:t>listed in the appendix</w:t>
      </w:r>
      <w:r>
        <w:rPr>
          <w:rFonts w:cs="Arial"/>
          <w:lang w:val="en-US"/>
        </w:rPr>
        <w:t xml:space="preserve"> was achieved for cross-slot</w:t>
      </w:r>
      <w:r w:rsidR="004A4285">
        <w:rPr>
          <w:rFonts w:cs="Arial"/>
          <w:lang w:val="en-US"/>
        </w:rPr>
        <w:t xml:space="preserve"> scheduling for NR power saving.</w:t>
      </w:r>
    </w:p>
    <w:p w14:paraId="547165E1" w14:textId="2AFE5D93" w:rsidR="00325D8C" w:rsidRPr="0019748C" w:rsidRDefault="006A2B4F" w:rsidP="0019748C">
      <w:pPr>
        <w:rPr>
          <w:rFonts w:cs="Arial"/>
        </w:rPr>
      </w:pPr>
      <w:r w:rsidRPr="00A06938">
        <w:rPr>
          <w:rFonts w:cs="Arial"/>
        </w:rPr>
        <w:t xml:space="preserve">This contribution provides our </w:t>
      </w:r>
      <w:r w:rsidR="004F3137">
        <w:rPr>
          <w:rFonts w:cs="Arial"/>
        </w:rPr>
        <w:t>views</w:t>
      </w:r>
      <w:r w:rsidR="004F3137">
        <w:rPr>
          <w:rFonts w:cs="Arial"/>
          <w:lang w:val="en-US"/>
        </w:rPr>
        <w:t xml:space="preserve"> </w:t>
      </w:r>
      <w:r w:rsidR="007A1A35">
        <w:rPr>
          <w:rFonts w:cs="Arial"/>
          <w:lang w:val="en-US"/>
        </w:rPr>
        <w:t>on remaining issues of</w:t>
      </w:r>
      <w:r w:rsidR="004A4285">
        <w:rPr>
          <w:rFonts w:cs="Arial"/>
          <w:lang w:val="en-US"/>
        </w:rPr>
        <w:t xml:space="preserve"> </w:t>
      </w:r>
      <w:r w:rsidR="006C6E55">
        <w:rPr>
          <w:rFonts w:cs="Arial"/>
        </w:rPr>
        <w:t>cross-slot scheduling power saving techniques</w:t>
      </w:r>
      <w:r w:rsidR="00B02A3B">
        <w:rPr>
          <w:rFonts w:cs="Arial"/>
        </w:rPr>
        <w:t>.</w:t>
      </w:r>
      <w:r w:rsidR="001A746F">
        <w:rPr>
          <w:rFonts w:cs="Arial"/>
        </w:rPr>
        <w:t xml:space="preserve"> </w:t>
      </w:r>
    </w:p>
    <w:p w14:paraId="26AA4B2F" w14:textId="77777777" w:rsidR="004A4285" w:rsidRDefault="004A4285" w:rsidP="00F625DF">
      <w:pPr>
        <w:rPr>
          <w:rFonts w:cs="Arial"/>
        </w:rPr>
      </w:pPr>
    </w:p>
    <w:p w14:paraId="6AD463DE" w14:textId="77F3A6A5" w:rsidR="002E2FAF" w:rsidRDefault="00CB24EA">
      <w:pPr>
        <w:pStyle w:val="Heading1"/>
        <w:rPr>
          <w:rFonts w:cs="Arial"/>
        </w:rPr>
      </w:pPr>
      <w:r>
        <w:rPr>
          <w:rFonts w:cs="Arial"/>
        </w:rPr>
        <w:t>Discussion</w:t>
      </w:r>
      <w:r w:rsidR="000C1FE2">
        <w:rPr>
          <w:rFonts w:cs="Arial"/>
        </w:rPr>
        <w:t xml:space="preserve"> on cross</w:t>
      </w:r>
      <w:r w:rsidR="000C1FE2">
        <w:rPr>
          <w:rFonts w:cs="Arial"/>
          <w:lang w:val="en-US"/>
        </w:rPr>
        <w:t>-slot scheduling</w:t>
      </w:r>
      <w:r w:rsidR="00F31471">
        <w:rPr>
          <w:rFonts w:cs="Arial"/>
          <w:lang w:val="en-US"/>
        </w:rPr>
        <w:t xml:space="preserve"> adaptation</w:t>
      </w:r>
      <w:r w:rsidR="000C1FE2">
        <w:rPr>
          <w:rFonts w:cs="Arial"/>
          <w:lang w:val="en-US"/>
        </w:rPr>
        <w:t xml:space="preserve"> </w:t>
      </w:r>
      <w:r w:rsidR="007F3AD9">
        <w:rPr>
          <w:rFonts w:cs="Arial"/>
          <w:lang w:val="en-US"/>
        </w:rPr>
        <w:t>procedures</w:t>
      </w:r>
    </w:p>
    <w:p w14:paraId="3CA1D32E" w14:textId="72763B54" w:rsidR="008B126E" w:rsidRDefault="008B126E" w:rsidP="000E7739">
      <w:pPr>
        <w:rPr>
          <w:rFonts w:eastAsia="SimSun"/>
          <w:b/>
          <w:u w:val="single"/>
          <w:lang w:eastAsia="zh-CN"/>
        </w:rPr>
      </w:pPr>
    </w:p>
    <w:p w14:paraId="32C7FF8D" w14:textId="247F15A6" w:rsidR="00C949CE" w:rsidRPr="00466A7E" w:rsidRDefault="00390339" w:rsidP="00466A7E">
      <w:pPr>
        <w:pStyle w:val="Heading2"/>
      </w:pPr>
      <w:r>
        <w:t xml:space="preserve"> </w:t>
      </w:r>
      <w:r w:rsidR="00326467">
        <w:t>Application delay</w:t>
      </w:r>
      <w:r w:rsidR="00D90138">
        <w:t xml:space="preserve"> for c</w:t>
      </w:r>
      <w:r w:rsidR="00466A7E" w:rsidRPr="00466A7E">
        <w:t>ross-slot scheduling adaptation</w:t>
      </w:r>
    </w:p>
    <w:p w14:paraId="5FEB3177" w14:textId="504AA5FE" w:rsidR="0031044C" w:rsidRDefault="0031044C" w:rsidP="000C1E7C">
      <w:pPr>
        <w:rPr>
          <w:rFonts w:eastAsia="SimSun"/>
          <w:lang w:eastAsia="zh-CN"/>
        </w:rPr>
      </w:pPr>
      <w:r>
        <w:rPr>
          <w:rFonts w:eastAsia="SimSun"/>
          <w:lang w:eastAsia="zh-CN"/>
        </w:rPr>
        <w:t>The below agreements were achieved in the RAN#98bis meeting regarding the application delay of updated minimum applicable K0/K2 value(s).</w:t>
      </w:r>
    </w:p>
    <w:tbl>
      <w:tblPr>
        <w:tblStyle w:val="TableGrid"/>
        <w:tblW w:w="0" w:type="auto"/>
        <w:tblLook w:val="04A0" w:firstRow="1" w:lastRow="0" w:firstColumn="1" w:lastColumn="0" w:noHBand="0" w:noVBand="1"/>
      </w:tblPr>
      <w:tblGrid>
        <w:gridCol w:w="9631"/>
      </w:tblGrid>
      <w:tr w:rsidR="009C37EB" w14:paraId="08AE7DB0" w14:textId="77777777" w:rsidTr="009C37EB">
        <w:tc>
          <w:tcPr>
            <w:tcW w:w="9631" w:type="dxa"/>
          </w:tcPr>
          <w:p w14:paraId="3E7908C0" w14:textId="77777777" w:rsidR="009C37EB" w:rsidRPr="005D1DCD" w:rsidRDefault="009C37EB" w:rsidP="009C37EB">
            <w:pPr>
              <w:rPr>
                <w:rFonts w:ascii="Arial" w:hAnsi="Arial" w:cs="Arial"/>
                <w:lang w:eastAsia="x-none"/>
              </w:rPr>
            </w:pPr>
            <w:r w:rsidRPr="005D1DCD">
              <w:rPr>
                <w:rFonts w:ascii="Arial" w:hAnsi="Arial" w:cs="Arial"/>
                <w:highlight w:val="green"/>
                <w:lang w:eastAsia="x-none"/>
              </w:rPr>
              <w:t>Agreements</w:t>
            </w:r>
            <w:r w:rsidRPr="005D1DCD">
              <w:rPr>
                <w:rFonts w:ascii="Arial" w:hAnsi="Arial" w:cs="Arial"/>
                <w:lang w:eastAsia="x-none"/>
              </w:rPr>
              <w:t>:</w:t>
            </w:r>
          </w:p>
          <w:p w14:paraId="44517202" w14:textId="77777777" w:rsidR="009C37EB" w:rsidRPr="005D1DCD" w:rsidRDefault="009C37EB" w:rsidP="009C37EB">
            <w:pPr>
              <w:pStyle w:val="NormalWeb"/>
              <w:numPr>
                <w:ilvl w:val="0"/>
                <w:numId w:val="276"/>
              </w:numPr>
              <w:spacing w:before="0" w:beforeAutospacing="0" w:after="0" w:afterAutospacing="0"/>
              <w:rPr>
                <w:color w:val="auto"/>
                <w:sz w:val="20"/>
                <w:szCs w:val="20"/>
              </w:rPr>
            </w:pPr>
            <w:r w:rsidRPr="005D1DCD">
              <w:rPr>
                <w:color w:val="auto"/>
                <w:sz w:val="20"/>
                <w:szCs w:val="20"/>
              </w:rPr>
              <w:t>With application delay, X, for adaptation to the indicated minimum applicable K0/K2 value(s) for a scheduled cell triggered by the 1-bit indication of a DCI format 1-1 or 0-1 with in the scheduling cell,</w:t>
            </w:r>
          </w:p>
          <w:p w14:paraId="038FA2C7" w14:textId="77777777" w:rsidR="009C37EB" w:rsidRPr="005D1DCD" w:rsidRDefault="009C37EB" w:rsidP="009C37EB">
            <w:pPr>
              <w:pStyle w:val="NormalWeb"/>
              <w:numPr>
                <w:ilvl w:val="1"/>
                <w:numId w:val="276"/>
              </w:numPr>
              <w:spacing w:before="0" w:beforeAutospacing="0" w:after="0" w:afterAutospacing="0"/>
              <w:rPr>
                <w:color w:val="auto"/>
                <w:sz w:val="20"/>
                <w:szCs w:val="20"/>
              </w:rPr>
            </w:pPr>
            <w:r w:rsidRPr="005D1DCD">
              <w:rPr>
                <w:color w:val="auto"/>
                <w:sz w:val="20"/>
                <w:szCs w:val="20"/>
              </w:rPr>
              <w:t>UE receives DCI of the change indication in slot n of the scheduling cell</w:t>
            </w:r>
          </w:p>
          <w:p w14:paraId="38645CEC" w14:textId="77777777" w:rsidR="009C37EB" w:rsidRPr="005D1DCD" w:rsidRDefault="009C37EB" w:rsidP="009C37EB">
            <w:pPr>
              <w:pStyle w:val="NormalWeb"/>
              <w:numPr>
                <w:ilvl w:val="1"/>
                <w:numId w:val="276"/>
              </w:numPr>
              <w:spacing w:before="0" w:beforeAutospacing="0" w:after="0" w:afterAutospacing="0"/>
              <w:rPr>
                <w:color w:val="auto"/>
                <w:sz w:val="20"/>
                <w:szCs w:val="20"/>
              </w:rPr>
            </w:pPr>
            <w:r w:rsidRPr="005D1DCD">
              <w:rPr>
                <w:color w:val="auto"/>
                <w:sz w:val="20"/>
                <w:szCs w:val="20"/>
              </w:rPr>
              <w:t>UE can be scheduled with the indicated minimum applicable K0/K2 value(s) for PDSCH/PUSCH on the scheduled cell in a DCI in slot (n + X) of the scheduling cell</w:t>
            </w:r>
          </w:p>
          <w:p w14:paraId="7D4D9F26" w14:textId="77777777" w:rsidR="009C37EB" w:rsidRPr="005D1DCD" w:rsidRDefault="009C37EB" w:rsidP="009C37EB">
            <w:pPr>
              <w:pStyle w:val="NormalWeb"/>
              <w:numPr>
                <w:ilvl w:val="0"/>
                <w:numId w:val="276"/>
              </w:numPr>
              <w:spacing w:before="0" w:beforeAutospacing="0" w:after="0" w:afterAutospacing="0"/>
              <w:rPr>
                <w:color w:val="auto"/>
                <w:sz w:val="20"/>
                <w:szCs w:val="20"/>
              </w:rPr>
            </w:pPr>
            <w:r w:rsidRPr="005D1DCD">
              <w:rPr>
                <w:color w:val="auto"/>
                <w:sz w:val="20"/>
                <w:szCs w:val="20"/>
              </w:rPr>
              <w:t>For same-carrier scheduling and at least for PDCCH monitoring case 1-1,</w:t>
            </w:r>
          </w:p>
          <w:p w14:paraId="25DF77B5" w14:textId="77777777" w:rsidR="009C37EB" w:rsidRPr="005D1DCD" w:rsidRDefault="009C37EB" w:rsidP="009C37EB">
            <w:pPr>
              <w:pStyle w:val="NormalWeb"/>
              <w:numPr>
                <w:ilvl w:val="1"/>
                <w:numId w:val="276"/>
              </w:numPr>
              <w:spacing w:before="0" w:beforeAutospacing="0" w:after="0" w:afterAutospacing="0"/>
              <w:rPr>
                <w:color w:val="auto"/>
                <w:sz w:val="20"/>
                <w:szCs w:val="20"/>
              </w:rPr>
            </w:pPr>
            <w:r w:rsidRPr="005D1DCD">
              <w:rPr>
                <w:color w:val="auto"/>
                <w:sz w:val="20"/>
                <w:szCs w:val="20"/>
              </w:rPr>
              <w:t>X = max(Y, Z)</w:t>
            </w:r>
          </w:p>
          <w:p w14:paraId="09001AD2" w14:textId="77777777" w:rsidR="009C37EB" w:rsidRPr="005D1DCD" w:rsidRDefault="009C37EB" w:rsidP="009C37EB">
            <w:pPr>
              <w:numPr>
                <w:ilvl w:val="1"/>
                <w:numId w:val="276"/>
              </w:numPr>
              <w:spacing w:after="0"/>
              <w:textAlignment w:val="center"/>
              <w:rPr>
                <w:rFonts w:ascii="Arial" w:hAnsi="Arial" w:cs="Arial"/>
                <w:lang w:eastAsia="zh-CN"/>
              </w:rPr>
            </w:pPr>
            <w:r w:rsidRPr="005D1DCD">
              <w:rPr>
                <w:rFonts w:ascii="Arial" w:hAnsi="Arial" w:cs="Arial"/>
                <w:lang w:eastAsia="zh-CN"/>
              </w:rPr>
              <w:t>Y is the active minimum applicable</w:t>
            </w:r>
            <w:r w:rsidRPr="005D1DCD">
              <w:rPr>
                <w:rFonts w:ascii="Arial" w:hAnsi="Arial" w:cs="Arial"/>
              </w:rPr>
              <w:t xml:space="preserve"> K0 value of the active DL BWP prior to the change indication</w:t>
            </w:r>
          </w:p>
          <w:p w14:paraId="6411A960" w14:textId="77777777" w:rsidR="009C37EB" w:rsidRPr="005D1DCD" w:rsidRDefault="009C37EB" w:rsidP="009C37EB">
            <w:pPr>
              <w:numPr>
                <w:ilvl w:val="1"/>
                <w:numId w:val="276"/>
              </w:numPr>
              <w:spacing w:after="0"/>
              <w:textAlignment w:val="center"/>
              <w:rPr>
                <w:rFonts w:ascii="Arial" w:hAnsi="Arial" w:cs="Arial"/>
              </w:rPr>
            </w:pPr>
            <w:r w:rsidRPr="005D1DCD">
              <w:rPr>
                <w:rFonts w:ascii="Arial" w:hAnsi="Arial" w:cs="Arial"/>
              </w:rPr>
              <w:t>Z is ([1], [1], [2], [2]) for DL SCS of (15, 30, 60, 120) KHz, respectively</w:t>
            </w:r>
          </w:p>
          <w:p w14:paraId="149BC5D5" w14:textId="77777777" w:rsidR="009C37EB" w:rsidRPr="005D1DCD" w:rsidRDefault="009C37EB" w:rsidP="009C37EB">
            <w:pPr>
              <w:pStyle w:val="NormalWeb"/>
              <w:numPr>
                <w:ilvl w:val="0"/>
                <w:numId w:val="276"/>
              </w:numPr>
              <w:spacing w:before="0" w:beforeAutospacing="0" w:after="0" w:afterAutospacing="0"/>
              <w:rPr>
                <w:color w:val="auto"/>
                <w:sz w:val="20"/>
                <w:szCs w:val="20"/>
              </w:rPr>
            </w:pPr>
            <w:r w:rsidRPr="005D1DCD">
              <w:rPr>
                <w:color w:val="auto"/>
                <w:sz w:val="20"/>
                <w:szCs w:val="20"/>
              </w:rPr>
              <w:t xml:space="preserve">FFS: Cross-carrier scheduling </w:t>
            </w:r>
          </w:p>
          <w:p w14:paraId="37013CD1" w14:textId="77777777" w:rsidR="009C37EB" w:rsidRPr="005D1DCD" w:rsidRDefault="009C37EB" w:rsidP="009C37EB">
            <w:pPr>
              <w:pStyle w:val="NormalWeb"/>
              <w:numPr>
                <w:ilvl w:val="0"/>
                <w:numId w:val="276"/>
              </w:numPr>
              <w:spacing w:before="0" w:beforeAutospacing="0" w:after="0" w:afterAutospacing="0"/>
              <w:rPr>
                <w:color w:val="auto"/>
                <w:sz w:val="20"/>
                <w:szCs w:val="20"/>
              </w:rPr>
            </w:pPr>
            <w:r w:rsidRPr="005D1DCD">
              <w:rPr>
                <w:color w:val="auto"/>
                <w:sz w:val="20"/>
                <w:szCs w:val="20"/>
              </w:rPr>
              <w:t>FFS: PDCCH monitoring case 1-2 and case 2</w:t>
            </w:r>
          </w:p>
          <w:p w14:paraId="4586FFDB" w14:textId="77777777" w:rsidR="009C37EB" w:rsidRPr="005D1DCD" w:rsidRDefault="009C37EB" w:rsidP="009C37EB">
            <w:pPr>
              <w:pStyle w:val="NormalWeb"/>
              <w:numPr>
                <w:ilvl w:val="0"/>
                <w:numId w:val="276"/>
              </w:numPr>
              <w:spacing w:before="0" w:beforeAutospacing="0" w:after="0" w:afterAutospacing="0"/>
              <w:rPr>
                <w:color w:val="auto"/>
                <w:sz w:val="20"/>
                <w:szCs w:val="20"/>
              </w:rPr>
            </w:pPr>
            <w:r w:rsidRPr="005D1DCD">
              <w:rPr>
                <w:color w:val="auto"/>
                <w:sz w:val="20"/>
                <w:szCs w:val="20"/>
              </w:rPr>
              <w:t>FFS: Whether and how to add a delay for adaptation from same-slot scheduling to cross-slot scheduling before potential data retransmission(s) is finished</w:t>
            </w:r>
          </w:p>
          <w:p w14:paraId="67125DE8" w14:textId="77777777" w:rsidR="009C37EB" w:rsidRPr="005D1DCD" w:rsidRDefault="009C37EB" w:rsidP="009C37EB">
            <w:pPr>
              <w:pStyle w:val="NormalWeb"/>
              <w:numPr>
                <w:ilvl w:val="0"/>
                <w:numId w:val="276"/>
              </w:numPr>
              <w:spacing w:before="0" w:beforeAutospacing="0" w:after="0" w:afterAutospacing="0"/>
              <w:rPr>
                <w:color w:val="auto"/>
                <w:sz w:val="20"/>
                <w:szCs w:val="20"/>
              </w:rPr>
            </w:pPr>
            <w:r w:rsidRPr="005D1DCD">
              <w:rPr>
                <w:color w:val="auto"/>
                <w:sz w:val="20"/>
                <w:szCs w:val="20"/>
              </w:rPr>
              <w:t>FFS whether or not/how to define the upper bound for the application delay</w:t>
            </w:r>
          </w:p>
          <w:p w14:paraId="4DCE9171" w14:textId="07EBA9F7" w:rsidR="009C37EB" w:rsidRPr="00163379" w:rsidRDefault="009C37EB" w:rsidP="00BB58A8">
            <w:pPr>
              <w:pStyle w:val="NormalWeb"/>
              <w:numPr>
                <w:ilvl w:val="0"/>
                <w:numId w:val="276"/>
              </w:numPr>
              <w:spacing w:before="0" w:beforeAutospacing="0" w:after="0" w:afterAutospacing="0"/>
            </w:pPr>
            <w:r w:rsidRPr="005D1DCD">
              <w:rPr>
                <w:color w:val="auto"/>
                <w:sz w:val="20"/>
                <w:szCs w:val="20"/>
              </w:rPr>
              <w:t>FFS whether/how to define UE behavior in case of miss detection</w:t>
            </w:r>
          </w:p>
        </w:tc>
      </w:tr>
    </w:tbl>
    <w:p w14:paraId="5ACEE082" w14:textId="76E42FAF" w:rsidR="0031044C" w:rsidRDefault="0031044C" w:rsidP="000C1E7C">
      <w:pPr>
        <w:rPr>
          <w:rFonts w:eastAsia="SimSun"/>
          <w:lang w:eastAsia="zh-CN"/>
        </w:rPr>
      </w:pPr>
    </w:p>
    <w:p w14:paraId="2B064D4D" w14:textId="5D5F0BE2" w:rsidR="009C37EB" w:rsidRPr="00BB58A8" w:rsidRDefault="009C37EB" w:rsidP="000C1E7C">
      <w:pPr>
        <w:rPr>
          <w:rFonts w:eastAsia="SimSun"/>
          <w:lang w:val="en-US" w:eastAsia="zh-CN"/>
        </w:rPr>
      </w:pPr>
      <w:r>
        <w:rPr>
          <w:rFonts w:eastAsia="SimSun"/>
          <w:lang w:eastAsia="zh-CN"/>
        </w:rPr>
        <w:lastRenderedPageBreak/>
        <w:t>The main principle of adopting</w:t>
      </w:r>
      <w:r>
        <w:rPr>
          <w:rFonts w:eastAsia="SimSun"/>
          <w:lang w:val="en-US" w:eastAsia="zh-CN"/>
        </w:rPr>
        <w:t xml:space="preserve"> application delay X = max(Y, Z) is that this value should be decided by the current UE processing timeline, which typically follows active minimum applicable K0/K2 value prior to the change indication. The other factor</w:t>
      </w:r>
      <w:r w:rsidR="004C1945">
        <w:rPr>
          <w:rFonts w:eastAsia="SimSun"/>
          <w:lang w:val="en-US" w:eastAsia="zh-CN"/>
        </w:rPr>
        <w:t xml:space="preserve"> Z actually</w:t>
      </w:r>
      <w:r>
        <w:rPr>
          <w:rFonts w:eastAsia="SimSun"/>
          <w:lang w:val="en-US" w:eastAsia="zh-CN"/>
        </w:rPr>
        <w:t xml:space="preserve"> considers the </w:t>
      </w:r>
      <w:r w:rsidR="004C1945">
        <w:rPr>
          <w:rFonts w:eastAsia="SimSun"/>
          <w:lang w:val="en-US" w:eastAsia="zh-CN"/>
        </w:rPr>
        <w:t>possible lower bound</w:t>
      </w:r>
      <w:r>
        <w:rPr>
          <w:rFonts w:eastAsia="SimSun"/>
          <w:lang w:val="en-US" w:eastAsia="zh-CN"/>
        </w:rPr>
        <w:t xml:space="preserve"> processing</w:t>
      </w:r>
      <w:r w:rsidR="004C1945">
        <w:rPr>
          <w:rFonts w:eastAsia="SimSun"/>
          <w:lang w:val="en-US" w:eastAsia="zh-CN"/>
        </w:rPr>
        <w:t xml:space="preserve"> delay depending on the used numerology. For large subcarrier spacing, one slot gap is not sufficient for UE to start use the newly indicated value. </w:t>
      </w:r>
    </w:p>
    <w:p w14:paraId="6973C7C5" w14:textId="11580751" w:rsidR="0031044C" w:rsidRDefault="005D217E" w:rsidP="000C1E7C">
      <w:pPr>
        <w:rPr>
          <w:rFonts w:eastAsia="SimSun"/>
          <w:lang w:eastAsia="zh-CN"/>
        </w:rPr>
      </w:pPr>
      <w:r>
        <w:rPr>
          <w:rFonts w:eastAsia="SimSun"/>
          <w:lang w:eastAsia="zh-CN"/>
        </w:rPr>
        <w:t>As can be seen, there are still some FFS points need to be addressed. Our view on them is as below.</w:t>
      </w:r>
    </w:p>
    <w:p w14:paraId="2E39B5A1" w14:textId="2F7FAAA6" w:rsidR="005D217E" w:rsidRPr="00BB58A8" w:rsidRDefault="005D217E" w:rsidP="00BB58A8">
      <w:pPr>
        <w:pStyle w:val="ListParagraph"/>
        <w:numPr>
          <w:ilvl w:val="0"/>
          <w:numId w:val="278"/>
        </w:numPr>
        <w:rPr>
          <w:rFonts w:eastAsia="SimSun"/>
          <w:lang w:eastAsia="zh-CN"/>
        </w:rPr>
      </w:pPr>
      <w:r w:rsidRPr="00BB58A8">
        <w:rPr>
          <w:rFonts w:eastAsia="SimSun"/>
          <w:lang w:eastAsia="zh-CN"/>
        </w:rPr>
        <w:t>On cross-carrier scheduling</w:t>
      </w:r>
    </w:p>
    <w:p w14:paraId="7819CD28" w14:textId="66144278" w:rsidR="006B535E" w:rsidRDefault="00474D78" w:rsidP="000C1E7C">
      <w:pPr>
        <w:rPr>
          <w:rFonts w:eastAsia="SimSun"/>
          <w:lang w:eastAsia="zh-CN"/>
        </w:rPr>
      </w:pPr>
      <w:r>
        <w:rPr>
          <w:rFonts w:eastAsia="SimSun"/>
          <w:lang w:eastAsia="zh-CN"/>
        </w:rPr>
        <w:t xml:space="preserve">As mentioned above, the application delay for the new value depends on the current UE processing timeline. </w:t>
      </w:r>
      <w:r w:rsidR="008E3059">
        <w:rPr>
          <w:rFonts w:eastAsia="SimSun"/>
          <w:lang w:eastAsia="zh-CN"/>
        </w:rPr>
        <w:t xml:space="preserve">It is implied by the above agreement that a typical UE implementation is assume to finish decoding PDCCH before the slot of potentially earliest PDSCH. Under this assumption, UE adjusts the processing timeline accordingly to save power if the gap is sufficiently long. On the other hand, starting from the next earliest slot when scheduled PDSCH potentially arrives, UE may choose to not buffer that </w:t>
      </w:r>
      <w:r w:rsidR="004070F0">
        <w:rPr>
          <w:rFonts w:eastAsia="SimSun"/>
          <w:lang w:eastAsia="zh-CN"/>
        </w:rPr>
        <w:t xml:space="preserve">entire </w:t>
      </w:r>
      <w:r w:rsidR="008E3059">
        <w:rPr>
          <w:rFonts w:eastAsia="SimSun"/>
          <w:lang w:eastAsia="zh-CN"/>
        </w:rPr>
        <w:t xml:space="preserve">slot or </w:t>
      </w:r>
      <w:r w:rsidR="006B535E">
        <w:rPr>
          <w:rFonts w:eastAsia="SimSun"/>
          <w:lang w:eastAsia="zh-CN"/>
        </w:rPr>
        <w:t xml:space="preserve">only buffer part of the </w:t>
      </w:r>
      <w:r w:rsidR="004070F0">
        <w:rPr>
          <w:rFonts w:eastAsia="SimSun"/>
          <w:lang w:eastAsia="zh-CN"/>
        </w:rPr>
        <w:t>slot in time/frequency domain</w:t>
      </w:r>
      <w:r w:rsidR="006B535E">
        <w:rPr>
          <w:rFonts w:eastAsia="SimSun"/>
          <w:lang w:eastAsia="zh-CN"/>
        </w:rPr>
        <w:t xml:space="preserve"> to save power, which depends on the</w:t>
      </w:r>
      <w:r w:rsidR="004070F0">
        <w:rPr>
          <w:rFonts w:eastAsia="SimSun"/>
          <w:lang w:eastAsia="zh-CN"/>
        </w:rPr>
        <w:t xml:space="preserve"> resource allocation fields in the</w:t>
      </w:r>
      <w:r w:rsidR="006B535E">
        <w:rPr>
          <w:rFonts w:eastAsia="SimSun"/>
          <w:lang w:eastAsia="zh-CN"/>
        </w:rPr>
        <w:t xml:space="preserve"> DCI decoded </w:t>
      </w:r>
      <w:r w:rsidR="004070F0">
        <w:rPr>
          <w:rFonts w:eastAsia="SimSun"/>
          <w:lang w:eastAsia="zh-CN"/>
        </w:rPr>
        <w:t>earlier</w:t>
      </w:r>
      <w:r w:rsidR="006B535E">
        <w:rPr>
          <w:rFonts w:eastAsia="SimSun"/>
          <w:lang w:eastAsia="zh-CN"/>
        </w:rPr>
        <w:t>.</w:t>
      </w:r>
    </w:p>
    <w:p w14:paraId="50F23D9A" w14:textId="4C0381AE" w:rsidR="002B4654" w:rsidRDefault="00E901D4" w:rsidP="000C1E7C">
      <w:pPr>
        <w:rPr>
          <w:rFonts w:eastAsia="SimSun"/>
          <w:lang w:val="en-US" w:eastAsia="zh-CN"/>
        </w:rPr>
      </w:pPr>
      <w:r>
        <w:rPr>
          <w:rFonts w:eastAsia="SimSun"/>
          <w:lang w:eastAsia="zh-CN"/>
        </w:rPr>
        <w:t>T</w:t>
      </w:r>
      <w:r w:rsidR="007B17DC">
        <w:rPr>
          <w:rFonts w:eastAsia="SimSun"/>
          <w:lang w:eastAsia="zh-CN"/>
        </w:rPr>
        <w:t>he current TDRA table and minimum K0/K2 values are configured</w:t>
      </w:r>
      <w:r>
        <w:rPr>
          <w:rFonts w:eastAsia="SimSun"/>
          <w:lang w:eastAsia="zh-CN"/>
        </w:rPr>
        <w:t>/indicated</w:t>
      </w:r>
      <w:r w:rsidR="004B14AE">
        <w:rPr>
          <w:rFonts w:eastAsia="SimSun"/>
          <w:lang w:eastAsia="zh-CN"/>
        </w:rPr>
        <w:t xml:space="preserve"> per BWP, which means different values can be utilized for different cells.</w:t>
      </w:r>
      <w:r w:rsidR="00C15469">
        <w:rPr>
          <w:rFonts w:eastAsia="SimSun"/>
          <w:lang w:eastAsia="zh-CN"/>
        </w:rPr>
        <w:t xml:space="preserve"> When UE is scheduled b</w:t>
      </w:r>
      <w:r w:rsidR="00C15469">
        <w:rPr>
          <w:rFonts w:eastAsia="SimSun"/>
          <w:lang w:val="en-US" w:eastAsia="zh-CN"/>
        </w:rPr>
        <w:t>y PCell PDCCH with PDSCH on an S</w:t>
      </w:r>
      <w:r w:rsidR="002B4654">
        <w:rPr>
          <w:rFonts w:eastAsia="SimSun"/>
          <w:lang w:val="en-US" w:eastAsia="zh-CN"/>
        </w:rPr>
        <w:t>Cell, we think the main concern</w:t>
      </w:r>
      <w:r w:rsidR="00577145">
        <w:rPr>
          <w:rFonts w:eastAsia="SimSun"/>
          <w:lang w:val="en-US" w:eastAsia="zh-CN"/>
        </w:rPr>
        <w:t>s</w:t>
      </w:r>
      <w:r w:rsidR="002B4654">
        <w:rPr>
          <w:rFonts w:eastAsia="SimSun"/>
          <w:lang w:val="en-US" w:eastAsia="zh-CN"/>
        </w:rPr>
        <w:t xml:space="preserve"> behind</w:t>
      </w:r>
      <w:r w:rsidR="00C15469">
        <w:rPr>
          <w:rFonts w:eastAsia="SimSun"/>
          <w:lang w:val="en-US" w:eastAsia="zh-CN"/>
        </w:rPr>
        <w:t xml:space="preserve"> this FFS</w:t>
      </w:r>
      <w:r w:rsidR="00577145">
        <w:rPr>
          <w:rFonts w:eastAsia="SimSun"/>
          <w:lang w:val="en-US" w:eastAsia="zh-CN"/>
        </w:rPr>
        <w:t xml:space="preserve"> bullet are: (1) Whether cross-carrier scheduling DCI may support cross-slot scheduling adaptation indication; and (2) if yes,</w:t>
      </w:r>
      <w:r w:rsidR="00C15469">
        <w:rPr>
          <w:rFonts w:eastAsia="SimSun"/>
          <w:lang w:val="en-US" w:eastAsia="zh-CN"/>
        </w:rPr>
        <w:t xml:space="preserve"> </w:t>
      </w:r>
      <w:r w:rsidR="002B4654">
        <w:rPr>
          <w:rFonts w:eastAsia="SimSun"/>
          <w:lang w:val="en-US" w:eastAsia="zh-CN"/>
        </w:rPr>
        <w:t>when</w:t>
      </w:r>
      <w:r w:rsidR="00C15469">
        <w:rPr>
          <w:rFonts w:eastAsia="SimSun"/>
          <w:lang w:val="en-US" w:eastAsia="zh-CN"/>
        </w:rPr>
        <w:t xml:space="preserve"> UE should </w:t>
      </w:r>
      <w:r w:rsidR="002B4654">
        <w:rPr>
          <w:rFonts w:eastAsia="SimSun"/>
          <w:lang w:val="en-US" w:eastAsia="zh-CN"/>
        </w:rPr>
        <w:t>start to use t</w:t>
      </w:r>
      <w:r w:rsidR="00C15469">
        <w:rPr>
          <w:rFonts w:eastAsia="SimSun"/>
          <w:lang w:val="en-US" w:eastAsia="zh-CN"/>
        </w:rPr>
        <w:t>he new value</w:t>
      </w:r>
      <w:r w:rsidR="002B4654">
        <w:rPr>
          <w:rFonts w:eastAsia="SimSun"/>
          <w:lang w:val="en-US" w:eastAsia="zh-CN"/>
        </w:rPr>
        <w:t xml:space="preserve"> for the active BWP in </w:t>
      </w:r>
      <w:r w:rsidR="00E86E31">
        <w:rPr>
          <w:rFonts w:eastAsia="SimSun"/>
          <w:lang w:val="en-US" w:eastAsia="zh-CN"/>
        </w:rPr>
        <w:t>the scheduled S</w:t>
      </w:r>
      <w:r w:rsidR="002B4654">
        <w:rPr>
          <w:rFonts w:eastAsia="SimSun"/>
          <w:lang w:val="en-US" w:eastAsia="zh-CN"/>
        </w:rPr>
        <w:t>Cell in a reasonable UE implementation.</w:t>
      </w:r>
      <w:r w:rsidR="0097538C">
        <w:rPr>
          <w:rFonts w:eastAsia="SimSun"/>
          <w:lang w:val="en-US" w:eastAsia="zh-CN"/>
        </w:rPr>
        <w:t xml:space="preserve"> Because </w:t>
      </w:r>
      <w:r w:rsidR="00DC0091">
        <w:rPr>
          <w:rFonts w:eastAsia="SimSun"/>
          <w:lang w:val="en-US" w:eastAsia="zh-CN"/>
        </w:rPr>
        <w:t>the PDCCH processing timeline</w:t>
      </w:r>
      <w:r w:rsidR="00577145">
        <w:rPr>
          <w:rFonts w:eastAsia="SimSun"/>
          <w:lang w:val="en-US" w:eastAsia="zh-CN"/>
        </w:rPr>
        <w:t xml:space="preserve"> for the PCell</w:t>
      </w:r>
      <w:r w:rsidR="00DC0091">
        <w:rPr>
          <w:rFonts w:eastAsia="SimSun"/>
          <w:lang w:val="en-US" w:eastAsia="zh-CN"/>
        </w:rPr>
        <w:t xml:space="preserve"> looks influenced</w:t>
      </w:r>
      <w:r w:rsidR="00577145">
        <w:rPr>
          <w:rFonts w:eastAsia="SimSun"/>
          <w:lang w:val="en-US" w:eastAsia="zh-CN"/>
        </w:rPr>
        <w:t xml:space="preserve"> both</w:t>
      </w:r>
      <w:r w:rsidR="00DC0091">
        <w:rPr>
          <w:rFonts w:eastAsia="SimSun"/>
          <w:lang w:val="en-US" w:eastAsia="zh-CN"/>
        </w:rPr>
        <w:t xml:space="preserve"> by the TDRA table of the</w:t>
      </w:r>
      <w:r w:rsidR="00577145">
        <w:rPr>
          <w:rFonts w:eastAsia="SimSun"/>
          <w:lang w:val="en-US" w:eastAsia="zh-CN"/>
        </w:rPr>
        <w:t xml:space="preserve"> PCell and</w:t>
      </w:r>
      <w:r w:rsidR="00DC0091">
        <w:rPr>
          <w:rFonts w:eastAsia="SimSun"/>
          <w:lang w:val="en-US" w:eastAsia="zh-CN"/>
        </w:rPr>
        <w:t xml:space="preserve"> SCell</w:t>
      </w:r>
      <w:r w:rsidR="0097538C">
        <w:rPr>
          <w:rFonts w:eastAsia="SimSun"/>
          <w:lang w:val="en-US" w:eastAsia="zh-CN"/>
        </w:rPr>
        <w:t>.</w:t>
      </w:r>
      <w:r w:rsidR="00DC0091">
        <w:rPr>
          <w:rFonts w:eastAsia="SimSun"/>
          <w:lang w:val="en-US" w:eastAsia="zh-CN"/>
        </w:rPr>
        <w:t xml:space="preserve"> If the minimum K0/K2 value in the SCell is less than that of the PCell, it is possible that the processing timeline of PCell PDCCH is too slow to know scheduled PDSCH</w:t>
      </w:r>
      <w:r w:rsidR="00E97B5E">
        <w:rPr>
          <w:rFonts w:eastAsia="SimSun"/>
          <w:lang w:val="en-US" w:eastAsia="zh-CN"/>
        </w:rPr>
        <w:t xml:space="preserve"> location</w:t>
      </w:r>
      <w:r w:rsidR="00DC0091">
        <w:rPr>
          <w:rFonts w:eastAsia="SimSun"/>
          <w:lang w:val="en-US" w:eastAsia="zh-CN"/>
        </w:rPr>
        <w:t xml:space="preserve"> in SCell in advance.</w:t>
      </w:r>
    </w:p>
    <w:p w14:paraId="747C0654" w14:textId="12E6B8F6" w:rsidR="00DC0091" w:rsidRDefault="00DC0091" w:rsidP="000C1E7C">
      <w:pPr>
        <w:rPr>
          <w:rFonts w:eastAsia="SimSun"/>
          <w:lang w:val="en-US" w:eastAsia="zh-CN"/>
        </w:rPr>
      </w:pPr>
      <w:r>
        <w:rPr>
          <w:rFonts w:eastAsia="SimSun"/>
          <w:lang w:val="en-US" w:eastAsia="zh-CN"/>
        </w:rPr>
        <w:t xml:space="preserve">In our opinion, UE may choose to buffer </w:t>
      </w:r>
      <w:r w:rsidR="00E97B5E">
        <w:rPr>
          <w:rFonts w:eastAsia="SimSun"/>
          <w:lang w:val="en-US" w:eastAsia="zh-CN"/>
        </w:rPr>
        <w:t>PDSCH of SCell earlier by implementation with some power saving gain loss. Slower PDCCH processing timeline for PCell still works.</w:t>
      </w:r>
      <w:r>
        <w:rPr>
          <w:rFonts w:eastAsia="SimSun"/>
          <w:lang w:val="en-US" w:eastAsia="zh-CN"/>
        </w:rPr>
        <w:t xml:space="preserve"> </w:t>
      </w:r>
      <w:r w:rsidR="00E86E31">
        <w:rPr>
          <w:rFonts w:eastAsia="SimSun"/>
          <w:lang w:val="en-US" w:eastAsia="zh-CN"/>
        </w:rPr>
        <w:t>In addition, gNB can also avoid to use misaligned</w:t>
      </w:r>
      <w:r w:rsidR="00577145">
        <w:rPr>
          <w:rFonts w:eastAsia="SimSun"/>
          <w:lang w:val="en-US" w:eastAsia="zh-CN"/>
        </w:rPr>
        <w:t xml:space="preserve"> values among different cells as much as possible by implementation.</w:t>
      </w:r>
      <w:r w:rsidR="00E86E31">
        <w:rPr>
          <w:rFonts w:eastAsia="SimSun"/>
          <w:lang w:val="en-US" w:eastAsia="zh-CN"/>
        </w:rPr>
        <w:t xml:space="preserve"> </w:t>
      </w:r>
      <w:r w:rsidR="00E97B5E">
        <w:rPr>
          <w:rFonts w:eastAsia="SimSun"/>
          <w:lang w:val="en-US" w:eastAsia="zh-CN"/>
        </w:rPr>
        <w:t>Therefore the PCell PDCCH processing timeline counts for application delay. At this stage to finish Rel.16, we propose not to optimize the cross-carrier scheduling case, as explained above there is no substantial issue.</w:t>
      </w:r>
    </w:p>
    <w:p w14:paraId="1C2576E6" w14:textId="7DA5D1FE" w:rsidR="00E97B5E" w:rsidRPr="00BB58A8" w:rsidRDefault="00E97B5E" w:rsidP="000C1E7C">
      <w:pPr>
        <w:rPr>
          <w:rFonts w:eastAsia="SimSun"/>
          <w:b/>
          <w:lang w:val="en-US" w:eastAsia="zh-CN"/>
        </w:rPr>
      </w:pPr>
      <w:r w:rsidRPr="00BB58A8">
        <w:rPr>
          <w:rFonts w:eastAsia="SimSun"/>
          <w:b/>
          <w:lang w:val="en-US" w:eastAsia="zh-CN"/>
        </w:rPr>
        <w:t xml:space="preserve">Proposal 1: </w:t>
      </w:r>
      <w:r w:rsidR="00577145">
        <w:rPr>
          <w:rFonts w:eastAsia="SimSun"/>
          <w:b/>
          <w:lang w:val="en-US" w:eastAsia="zh-CN"/>
        </w:rPr>
        <w:t xml:space="preserve">If Rel.16 supports the </w:t>
      </w:r>
      <w:r>
        <w:rPr>
          <w:rFonts w:eastAsia="SimSun"/>
          <w:b/>
          <w:lang w:val="en-US" w:eastAsia="zh-CN"/>
        </w:rPr>
        <w:t>indicated minimum applicable K0/K2 value(s) for a scheduled cell triggered by a cross-carrier scheduling DCI, the application delay is the same with same-carrier scheduling case.</w:t>
      </w:r>
    </w:p>
    <w:p w14:paraId="38707DE0" w14:textId="5D6828DC" w:rsidR="00E97B5E" w:rsidRDefault="00E97B5E" w:rsidP="000C1E7C">
      <w:pPr>
        <w:rPr>
          <w:rFonts w:eastAsia="SimSun"/>
          <w:lang w:val="en-US" w:eastAsia="zh-CN"/>
        </w:rPr>
      </w:pPr>
    </w:p>
    <w:p w14:paraId="7FF468E5" w14:textId="60F24368" w:rsidR="00E97B5E" w:rsidRPr="00BB58A8" w:rsidRDefault="00E97B5E" w:rsidP="00BB58A8">
      <w:pPr>
        <w:pStyle w:val="ListParagraph"/>
        <w:numPr>
          <w:ilvl w:val="0"/>
          <w:numId w:val="278"/>
        </w:numPr>
        <w:rPr>
          <w:rFonts w:eastAsia="SimSun"/>
          <w:lang w:val="en-US" w:eastAsia="zh-CN"/>
        </w:rPr>
      </w:pPr>
      <w:r w:rsidRPr="00BB58A8">
        <w:rPr>
          <w:rFonts w:eastAsia="SimSun"/>
          <w:lang w:val="en-US" w:eastAsia="zh-CN"/>
        </w:rPr>
        <w:t>On PDCCH monitoring case 1-2 and case 2</w:t>
      </w:r>
    </w:p>
    <w:p w14:paraId="177D3580" w14:textId="52DCAAF8" w:rsidR="009E0704" w:rsidRDefault="002D645B" w:rsidP="000C1E7C">
      <w:pPr>
        <w:rPr>
          <w:rFonts w:eastAsia="SimSun"/>
          <w:lang w:val="en-US" w:eastAsia="zh-CN"/>
        </w:rPr>
      </w:pPr>
      <w:r>
        <w:rPr>
          <w:rFonts w:eastAsia="SimSun"/>
          <w:lang w:eastAsia="zh-CN"/>
        </w:rPr>
        <w:t>Current agreement applies for PDCCH monitoring case 1-1 only</w:t>
      </w:r>
      <w:r w:rsidR="00506DFC">
        <w:rPr>
          <w:rFonts w:eastAsia="SimSun"/>
          <w:lang w:eastAsia="zh-CN"/>
        </w:rPr>
        <w:t>. For Case 1</w:t>
      </w:r>
      <w:r w:rsidR="00506DFC">
        <w:rPr>
          <w:rFonts w:eastAsia="SimSun"/>
          <w:lang w:val="en-US" w:eastAsia="zh-CN"/>
        </w:rPr>
        <w:t>-1, PDCCH monitoring occasions only appear up to three OFDM symbols at the beginning of a slot. This leaves more time for UE modem to finish decoding PDCCH than case 1-2 and 2 in slot-level.</w:t>
      </w:r>
    </w:p>
    <w:p w14:paraId="05894333" w14:textId="79BE7111" w:rsidR="00807529" w:rsidRDefault="00506DFC" w:rsidP="000C1E7C">
      <w:pPr>
        <w:rPr>
          <w:rFonts w:eastAsia="SimSun"/>
          <w:lang w:val="en-US" w:eastAsia="zh-CN"/>
        </w:rPr>
      </w:pPr>
      <w:r>
        <w:rPr>
          <w:rFonts w:eastAsia="SimSun"/>
          <w:lang w:val="en-US" w:eastAsia="zh-CN"/>
        </w:rPr>
        <w:t xml:space="preserve">For case 1-2, up to 3 consecutive OFDM symbols may occur anywhere in a slot, although the PDCCH monitoring periodicity is 14 or more symbols. </w:t>
      </w:r>
      <w:r w:rsidR="0023397C">
        <w:rPr>
          <w:rFonts w:eastAsia="SimSun"/>
          <w:lang w:val="en-US" w:eastAsia="zh-CN"/>
        </w:rPr>
        <w:t>Thus it is valid to pursue UE power saving for this case for dynamic resource sharing  between data and control channel, and also dynamic spectrum sharing between LTE and NR. Considering the flexibility of monitoring occasions within a slot,</w:t>
      </w:r>
      <w:r w:rsidR="003229F9">
        <w:rPr>
          <w:rFonts w:eastAsia="SimSun"/>
          <w:lang w:val="en-US" w:eastAsia="zh-CN"/>
        </w:rPr>
        <w:t xml:space="preserve"> </w:t>
      </w:r>
      <w:r w:rsidR="0023397C">
        <w:rPr>
          <w:rFonts w:eastAsia="SimSun"/>
          <w:lang w:val="en-US" w:eastAsia="zh-CN"/>
        </w:rPr>
        <w:t>i</w:t>
      </w:r>
      <w:r w:rsidR="003229F9">
        <w:rPr>
          <w:rFonts w:eastAsia="SimSun"/>
          <w:lang w:val="en-US" w:eastAsia="zh-CN"/>
        </w:rPr>
        <w:t>n our view, an easy approach is to</w:t>
      </w:r>
      <w:r w:rsidR="0023397C">
        <w:rPr>
          <w:rFonts w:eastAsia="SimSun"/>
          <w:lang w:val="en-US" w:eastAsia="zh-CN"/>
        </w:rPr>
        <w:t xml:space="preserve"> make the support of case 1-2 to indicate the minimum value as a capability.</w:t>
      </w:r>
      <w:r w:rsidR="0011502D">
        <w:rPr>
          <w:rFonts w:eastAsia="SimSun"/>
          <w:lang w:val="en-US" w:eastAsia="zh-CN"/>
        </w:rPr>
        <w:t xml:space="preserve"> </w:t>
      </w:r>
      <w:r w:rsidR="0023397C">
        <w:rPr>
          <w:rFonts w:eastAsia="SimSun"/>
          <w:lang w:val="en-US" w:eastAsia="zh-CN"/>
        </w:rPr>
        <w:t>I</w:t>
      </w:r>
      <w:r w:rsidR="0011502D">
        <w:rPr>
          <w:rFonts w:eastAsia="SimSun"/>
          <w:lang w:val="en-US" w:eastAsia="zh-CN"/>
        </w:rPr>
        <w:t xml:space="preserve">t is beneficial to achieve a more </w:t>
      </w:r>
      <w:r>
        <w:rPr>
          <w:rFonts w:eastAsia="SimSun"/>
          <w:lang w:val="en-US" w:eastAsia="zh-CN"/>
        </w:rPr>
        <w:t>unified processing timeline design</w:t>
      </w:r>
      <w:r w:rsidR="0011502D">
        <w:rPr>
          <w:rFonts w:eastAsia="SimSun"/>
          <w:lang w:val="en-US" w:eastAsia="zh-CN"/>
        </w:rPr>
        <w:t xml:space="preserve"> in the UE modem.</w:t>
      </w:r>
    </w:p>
    <w:p w14:paraId="5A0DFCAC" w14:textId="67933031" w:rsidR="00C95F19" w:rsidRDefault="00807529" w:rsidP="000C1E7C">
      <w:pPr>
        <w:rPr>
          <w:rFonts w:eastAsia="SimSun"/>
          <w:lang w:val="en-US" w:eastAsia="zh-CN"/>
        </w:rPr>
      </w:pPr>
      <w:r>
        <w:rPr>
          <w:rFonts w:eastAsia="SimSun"/>
          <w:lang w:val="en-US" w:eastAsia="zh-CN"/>
        </w:rPr>
        <w:t>As for case 2</w:t>
      </w:r>
      <w:r w:rsidR="004F04DE">
        <w:rPr>
          <w:rFonts w:eastAsia="SimSun"/>
          <w:lang w:val="en-US" w:eastAsia="zh-CN"/>
        </w:rPr>
        <w:t xml:space="preserve">, </w:t>
      </w:r>
      <w:r w:rsidR="00C95F19">
        <w:rPr>
          <w:rFonts w:eastAsia="SimSun"/>
          <w:lang w:val="en-US" w:eastAsia="zh-CN"/>
        </w:rPr>
        <w:t>we think</w:t>
      </w:r>
      <w:r w:rsidR="0023397C">
        <w:rPr>
          <w:rFonts w:eastAsia="SimSun"/>
          <w:lang w:val="en-US" w:eastAsia="zh-CN"/>
        </w:rPr>
        <w:t xml:space="preserve"> low latency related power saving enhancement could be a possible candidate in next release to discuss</w:t>
      </w:r>
      <w:r w:rsidR="00C95F19">
        <w:rPr>
          <w:rFonts w:eastAsia="SimSun"/>
          <w:lang w:val="en-US" w:eastAsia="zh-CN"/>
        </w:rPr>
        <w:t>.</w:t>
      </w:r>
      <w:r w:rsidR="0023397C">
        <w:rPr>
          <w:rFonts w:eastAsia="SimSun"/>
          <w:lang w:val="en-US" w:eastAsia="zh-CN"/>
        </w:rPr>
        <w:t xml:space="preserve"> Therefore it is better not to support case 2 in Rel.16.</w:t>
      </w:r>
    </w:p>
    <w:p w14:paraId="4A730345" w14:textId="6FC2E2AD" w:rsidR="00FD2CCC" w:rsidRDefault="00C95F19" w:rsidP="000C1E7C">
      <w:pPr>
        <w:rPr>
          <w:rFonts w:eastAsia="SimSun"/>
          <w:b/>
          <w:lang w:val="en-US" w:eastAsia="zh-CN"/>
        </w:rPr>
      </w:pPr>
      <w:r w:rsidRPr="00BB58A8">
        <w:rPr>
          <w:rFonts w:eastAsia="SimSun"/>
          <w:b/>
          <w:lang w:val="en-US" w:eastAsia="zh-CN"/>
        </w:rPr>
        <w:t>Proposal 2: For PDCCH monitoring case 1-2</w:t>
      </w:r>
      <w:r w:rsidR="00FD2CCC">
        <w:rPr>
          <w:rFonts w:eastAsia="SimSun"/>
          <w:b/>
          <w:lang w:val="en-US" w:eastAsia="zh-CN"/>
        </w:rPr>
        <w:t>, the application delay is the same as case 1-1. Whether the UE can achieve this to support the minimum K0/K2 value indication is up to a UE capability.</w:t>
      </w:r>
      <w:r w:rsidR="0082363D">
        <w:rPr>
          <w:rFonts w:eastAsia="SimSun"/>
          <w:b/>
          <w:lang w:val="en-US" w:eastAsia="zh-CN"/>
        </w:rPr>
        <w:t xml:space="preserve"> </w:t>
      </w:r>
    </w:p>
    <w:p w14:paraId="7697CBA0" w14:textId="0AE57A19" w:rsidR="00506DFC" w:rsidRPr="00BB58A8" w:rsidRDefault="0082363D" w:rsidP="000C1E7C">
      <w:pPr>
        <w:rPr>
          <w:rFonts w:eastAsia="SimSun"/>
          <w:b/>
          <w:lang w:val="en-US" w:eastAsia="zh-CN"/>
        </w:rPr>
      </w:pPr>
      <w:r>
        <w:rPr>
          <w:rFonts w:eastAsia="SimSun"/>
          <w:b/>
          <w:lang w:val="en-US" w:eastAsia="zh-CN"/>
        </w:rPr>
        <w:t xml:space="preserve">Proposal 3: </w:t>
      </w:r>
      <w:r w:rsidR="00BD11A9">
        <w:rPr>
          <w:rFonts w:eastAsia="SimSun"/>
          <w:b/>
          <w:lang w:val="en-US" w:eastAsia="zh-CN"/>
        </w:rPr>
        <w:t>For PDCCH monitoring case 2, it is not supported to indicate minimum K0/K2 value for cross-slot scheduling adaptation in Rel.16</w:t>
      </w:r>
    </w:p>
    <w:p w14:paraId="778C6939" w14:textId="49DC6C8B" w:rsidR="005D217E" w:rsidRDefault="005D217E" w:rsidP="000C1E7C">
      <w:pPr>
        <w:rPr>
          <w:rFonts w:eastAsia="SimSun"/>
          <w:lang w:eastAsia="zh-CN"/>
        </w:rPr>
      </w:pPr>
    </w:p>
    <w:p w14:paraId="283CE099" w14:textId="41C43EBF" w:rsidR="00442EB9" w:rsidRPr="00BB58A8" w:rsidRDefault="00442EB9" w:rsidP="00BB58A8">
      <w:pPr>
        <w:pStyle w:val="ListParagraph"/>
        <w:numPr>
          <w:ilvl w:val="0"/>
          <w:numId w:val="278"/>
        </w:numPr>
        <w:rPr>
          <w:rFonts w:eastAsia="SimSun"/>
          <w:lang w:eastAsia="zh-CN"/>
        </w:rPr>
      </w:pPr>
      <w:r w:rsidRPr="00BB58A8">
        <w:rPr>
          <w:rFonts w:eastAsia="SimSun"/>
          <w:lang w:eastAsia="zh-CN"/>
        </w:rPr>
        <w:t xml:space="preserve">On </w:t>
      </w:r>
      <w:r w:rsidR="00E83938" w:rsidRPr="00BB58A8">
        <w:rPr>
          <w:rFonts w:eastAsia="SimSun"/>
          <w:lang w:eastAsia="zh-CN"/>
        </w:rPr>
        <w:t>potential additional delay caused by retransmission(s)</w:t>
      </w:r>
    </w:p>
    <w:p w14:paraId="219D6464" w14:textId="0DA22C75" w:rsidR="009E0704" w:rsidRDefault="00233072" w:rsidP="00470487">
      <w:pPr>
        <w:rPr>
          <w:lang w:val="en-US"/>
        </w:rPr>
      </w:pPr>
      <w:r>
        <w:rPr>
          <w:lang w:val="en-US"/>
        </w:rPr>
        <w:t>Another FFS point is w</w:t>
      </w:r>
      <w:r w:rsidR="00442EB9" w:rsidRPr="00442EB9">
        <w:rPr>
          <w:lang w:val="en-US"/>
        </w:rPr>
        <w:t>hether and how to add a delay for adaptation from same-slot scheduling to cross-slot scheduling before potential data retransmission(s) is finished</w:t>
      </w:r>
      <w:r w:rsidR="002714AD">
        <w:rPr>
          <w:lang w:val="en-US"/>
        </w:rPr>
        <w:t>, wherein in our understanding, the following case is considered. UE is scheduled in Slot #N with multiple slot data transmission</w:t>
      </w:r>
      <w:r w:rsidR="00470487">
        <w:rPr>
          <w:lang w:val="en-US"/>
        </w:rPr>
        <w:t xml:space="preserve">. </w:t>
      </w:r>
      <w:r w:rsidR="002714AD">
        <w:rPr>
          <w:lang w:val="en-US"/>
        </w:rPr>
        <w:t>UE deals with the PDCCH decoding and PDSCH buffering by processing timeline for same-slot scheduling</w:t>
      </w:r>
      <w:r w:rsidR="002C5C28">
        <w:rPr>
          <w:lang w:val="en-US"/>
        </w:rPr>
        <w:t>.</w:t>
      </w:r>
      <w:r w:rsidR="00470487" w:rsidRPr="00470487">
        <w:rPr>
          <w:lang w:val="en-US"/>
        </w:rPr>
        <w:t xml:space="preserve"> </w:t>
      </w:r>
      <w:r w:rsidR="00470487">
        <w:rPr>
          <w:lang w:val="en-US"/>
        </w:rPr>
        <w:t xml:space="preserve">Meanwhile, in Slot #N, </w:t>
      </w:r>
      <w:r w:rsidR="003658EA">
        <w:rPr>
          <w:lang w:val="en-US"/>
        </w:rPr>
        <w:t>scheduling DCI indicates t</w:t>
      </w:r>
      <w:r w:rsidR="00470487">
        <w:rPr>
          <w:lang w:val="en-US"/>
        </w:rPr>
        <w:t>he</w:t>
      </w:r>
      <w:r w:rsidR="003658EA">
        <w:rPr>
          <w:lang w:val="en-US"/>
        </w:rPr>
        <w:t xml:space="preserve"> new</w:t>
      </w:r>
      <w:r w:rsidR="00470487">
        <w:rPr>
          <w:lang w:val="en-US"/>
        </w:rPr>
        <w:t xml:space="preserve"> minimum </w:t>
      </w:r>
      <w:r w:rsidR="00470487">
        <w:rPr>
          <w:lang w:val="en-US"/>
        </w:rPr>
        <w:lastRenderedPageBreak/>
        <w:t xml:space="preserve">K0/K2 </w:t>
      </w:r>
      <w:r w:rsidR="003658EA">
        <w:rPr>
          <w:lang w:val="en-US"/>
        </w:rPr>
        <w:t>to switch UE to cross-slot scheduling</w:t>
      </w:r>
      <w:r w:rsidR="00470487">
        <w:rPr>
          <w:lang w:val="en-US"/>
        </w:rPr>
        <w:t>.</w:t>
      </w:r>
      <w:r w:rsidR="00E86E31">
        <w:rPr>
          <w:lang w:val="en-US"/>
        </w:rPr>
        <w:t xml:space="preserve"> Based on the current agreement, UE may start to apply the new value from Slot#N+1 while the data retransmission(s) are not yet finished.</w:t>
      </w:r>
    </w:p>
    <w:p w14:paraId="52900380" w14:textId="6F3FB947" w:rsidR="00E86E31" w:rsidRDefault="00E86E31" w:rsidP="00470487">
      <w:pPr>
        <w:rPr>
          <w:lang w:val="en-US"/>
        </w:rPr>
      </w:pPr>
      <w:r>
        <w:rPr>
          <w:lang w:val="en-US"/>
        </w:rPr>
        <w:t xml:space="preserve">In our observation, the PDCCH processing timeline may follow the cross-slot scheduling from Slot#N+1, which is not influenced by the unfinished data retransmissions. Because starting from Slot#N+1, there is a definite gap between PDCCH and scheduled PDSCH. On the other hand, </w:t>
      </w:r>
      <w:r w:rsidR="00F107BB">
        <w:rPr>
          <w:lang w:val="en-US"/>
        </w:rPr>
        <w:t xml:space="preserve">in the UE implementation, </w:t>
      </w:r>
      <w:r>
        <w:rPr>
          <w:lang w:val="en-US"/>
        </w:rPr>
        <w:t xml:space="preserve">the PDSCH buffering behaviour </w:t>
      </w:r>
      <w:r w:rsidR="00735C3E">
        <w:rPr>
          <w:lang w:val="en-US"/>
        </w:rPr>
        <w:t>could be different for newly scheduled PDSCH from previously scheduled ones. More specifically, UE still needs to buffer the PDSCH in Slot#N+1 for retransmission scheduled by the PDCCH before this slot, while UE does not have to buffer for new transmissions. In this sense, the UE may apply the “new behavior” on PDSCH buffering later than that for PDCCH processing timeline.</w:t>
      </w:r>
      <w:r w:rsidR="00B01604">
        <w:rPr>
          <w:lang w:val="en-US"/>
        </w:rPr>
        <w:t xml:space="preserve"> Furthermore, in our view, this does not influence the “application delay” in the specification, where mostly likely it will be described as something like UE does not expect gNB start to use the new value for TDRA table restriction until slot N+X. To that end, this application delay does not mandate any specific UE implementation on PDCCH </w:t>
      </w:r>
      <w:r w:rsidR="00F7734D">
        <w:rPr>
          <w:lang w:val="en-US"/>
        </w:rPr>
        <w:t>processing and PDSCH buffering. UE may implement the reasonable behavior transition as per needed.</w:t>
      </w:r>
    </w:p>
    <w:p w14:paraId="466F5BD4" w14:textId="63293262" w:rsidR="00442EB9" w:rsidRPr="00BB58A8" w:rsidRDefault="00F7734D" w:rsidP="000C1E7C">
      <w:pPr>
        <w:rPr>
          <w:rFonts w:eastAsia="SimSun"/>
          <w:b/>
          <w:lang w:val="en-US" w:eastAsia="zh-CN"/>
        </w:rPr>
      </w:pPr>
      <w:r w:rsidRPr="00BB58A8">
        <w:rPr>
          <w:rFonts w:eastAsia="SimSun"/>
          <w:b/>
          <w:lang w:val="en-US" w:eastAsia="zh-CN"/>
        </w:rPr>
        <w:t xml:space="preserve">Proposal </w:t>
      </w:r>
      <w:r w:rsidR="00BD11A9">
        <w:rPr>
          <w:rFonts w:eastAsia="SimSun"/>
          <w:b/>
          <w:lang w:val="en-US" w:eastAsia="zh-CN"/>
        </w:rPr>
        <w:t>4</w:t>
      </w:r>
      <w:r w:rsidRPr="00BB58A8">
        <w:rPr>
          <w:rFonts w:eastAsia="SimSun"/>
          <w:b/>
          <w:lang w:val="en-US" w:eastAsia="zh-CN"/>
        </w:rPr>
        <w:t xml:space="preserve">: </w:t>
      </w:r>
      <w:r w:rsidR="00266F63" w:rsidRPr="00BB58A8">
        <w:rPr>
          <w:rFonts w:eastAsia="SimSun"/>
          <w:b/>
          <w:lang w:val="en-US" w:eastAsia="zh-CN"/>
        </w:rPr>
        <w:t>No need to add a delay for adaptation from same-slot scheduling to cross-slot scheduling before potential data retransmission(s) is finished.</w:t>
      </w:r>
    </w:p>
    <w:p w14:paraId="2AAD6FB2" w14:textId="5AA2C0B3" w:rsidR="00F7734D" w:rsidRDefault="00F7734D" w:rsidP="000C1E7C">
      <w:pPr>
        <w:rPr>
          <w:rFonts w:eastAsia="SimSun"/>
          <w:lang w:val="en-US" w:eastAsia="zh-CN"/>
        </w:rPr>
      </w:pPr>
    </w:p>
    <w:p w14:paraId="20C0B7AF" w14:textId="488439FE" w:rsidR="00266F63" w:rsidRPr="00266F63" w:rsidRDefault="00266F63" w:rsidP="00BB58A8">
      <w:pPr>
        <w:pStyle w:val="ListParagraph"/>
        <w:numPr>
          <w:ilvl w:val="0"/>
          <w:numId w:val="278"/>
        </w:numPr>
        <w:rPr>
          <w:rFonts w:eastAsia="SimSun"/>
          <w:lang w:val="en-US" w:eastAsia="zh-CN"/>
        </w:rPr>
      </w:pPr>
      <w:r w:rsidRPr="00BB58A8">
        <w:rPr>
          <w:rFonts w:eastAsia="SimSun"/>
          <w:lang w:val="en-US" w:eastAsia="zh-CN"/>
        </w:rPr>
        <w:t>On whether or not/how to define the upper bound for the application delay</w:t>
      </w:r>
    </w:p>
    <w:p w14:paraId="386EC454" w14:textId="77777777" w:rsidR="0035082A" w:rsidRDefault="002D3CF4" w:rsidP="00266F63">
      <w:pPr>
        <w:rPr>
          <w:rFonts w:eastAsia="SimSun"/>
          <w:lang w:val="en-US" w:eastAsia="zh-CN"/>
        </w:rPr>
      </w:pPr>
      <w:r>
        <w:rPr>
          <w:rFonts w:eastAsia="SimSun"/>
          <w:lang w:val="en-US" w:eastAsia="zh-CN"/>
        </w:rPr>
        <w:t xml:space="preserve">In our view, the potential upper bound for the application delay is </w:t>
      </w:r>
      <w:r w:rsidR="006D528A">
        <w:rPr>
          <w:rFonts w:eastAsia="SimSun"/>
          <w:lang w:val="en-US" w:eastAsia="zh-CN"/>
        </w:rPr>
        <w:t>not so necessary</w:t>
      </w:r>
      <w:r w:rsidR="003D6332">
        <w:rPr>
          <w:rFonts w:eastAsia="SimSun"/>
          <w:lang w:val="en-US" w:eastAsia="zh-CN"/>
        </w:rPr>
        <w:t>. One may have a concern that the current minimum K0/K2 value is quite relaxed and UE implementation on PDCCH processing is always faster than that K0 value. In this sense, an upper bound was proposed.</w:t>
      </w:r>
      <w:r w:rsidR="00571D79">
        <w:rPr>
          <w:rFonts w:eastAsia="SimSun"/>
          <w:lang w:val="en-US" w:eastAsia="zh-CN"/>
        </w:rPr>
        <w:t xml:space="preserve"> However, </w:t>
      </w:r>
      <w:r w:rsidR="00A02C62">
        <w:rPr>
          <w:rFonts w:eastAsia="SimSun"/>
          <w:lang w:val="en-US" w:eastAsia="zh-CN"/>
        </w:rPr>
        <w:t xml:space="preserve">this may depend on how large K0/K2 value is allowed to configure by RRC signaling and whether a relatively late update has essential issues. </w:t>
      </w:r>
      <w:r w:rsidR="003C2F64">
        <w:rPr>
          <w:rFonts w:eastAsia="SimSun"/>
          <w:lang w:val="en-US" w:eastAsia="zh-CN"/>
        </w:rPr>
        <w:t xml:space="preserve">At least in our opinion, it is up to UE implementation to update the K0 value earlier but not start to apply it until the Slot#N+K0, which has no impact to achieve the alignment with gNB. </w:t>
      </w:r>
      <w:r w:rsidR="0035082A">
        <w:rPr>
          <w:rFonts w:eastAsia="SimSun"/>
          <w:lang w:val="en-US" w:eastAsia="zh-CN"/>
        </w:rPr>
        <w:t>Thus there is no fundamental issue from UE side. From network side, a potential concern could be throughput loss during transitioning. But this transitioning period takes little portion of schedulable slots. The impact is quite marginal.</w:t>
      </w:r>
    </w:p>
    <w:p w14:paraId="0BDBD941" w14:textId="49FF324E" w:rsidR="00266F63" w:rsidRPr="00BB58A8" w:rsidRDefault="0035082A" w:rsidP="00266F63">
      <w:pPr>
        <w:rPr>
          <w:rFonts w:eastAsia="SimSun"/>
          <w:b/>
          <w:lang w:val="en-US" w:eastAsia="zh-CN"/>
        </w:rPr>
      </w:pPr>
      <w:r w:rsidRPr="00BB58A8">
        <w:rPr>
          <w:rFonts w:eastAsia="SimSun"/>
          <w:b/>
          <w:lang w:val="en-US" w:eastAsia="zh-CN"/>
        </w:rPr>
        <w:t xml:space="preserve">Proposal </w:t>
      </w:r>
      <w:r w:rsidR="00BA657E">
        <w:rPr>
          <w:rFonts w:eastAsia="SimSun"/>
          <w:b/>
          <w:lang w:val="en-US" w:eastAsia="zh-CN"/>
        </w:rPr>
        <w:t>5</w:t>
      </w:r>
      <w:r w:rsidRPr="00BB58A8">
        <w:rPr>
          <w:rFonts w:eastAsia="SimSun"/>
          <w:b/>
          <w:lang w:val="en-US" w:eastAsia="zh-CN"/>
        </w:rPr>
        <w:t>: No need to define an upper bound for the application delay for the cross-slot scheduling adaptation</w:t>
      </w:r>
      <w:r w:rsidR="00BA0B6B" w:rsidRPr="00BB58A8">
        <w:rPr>
          <w:rFonts w:eastAsia="SimSun"/>
          <w:b/>
          <w:lang w:val="en-US" w:eastAsia="zh-CN"/>
        </w:rPr>
        <w:t>.</w:t>
      </w:r>
      <w:r w:rsidRPr="00BB58A8">
        <w:rPr>
          <w:rFonts w:eastAsia="SimSun"/>
          <w:b/>
          <w:lang w:val="en-US" w:eastAsia="zh-CN"/>
        </w:rPr>
        <w:t xml:space="preserve"> </w:t>
      </w:r>
      <w:r w:rsidR="003C2F64" w:rsidRPr="00BB58A8">
        <w:rPr>
          <w:rFonts w:eastAsia="SimSun"/>
          <w:b/>
          <w:lang w:val="en-US" w:eastAsia="zh-CN"/>
        </w:rPr>
        <w:t xml:space="preserve"> </w:t>
      </w:r>
    </w:p>
    <w:p w14:paraId="4F31169C" w14:textId="77777777" w:rsidR="00266F63" w:rsidRPr="00266F63" w:rsidRDefault="00266F63" w:rsidP="00266F63">
      <w:pPr>
        <w:rPr>
          <w:rFonts w:eastAsia="SimSun"/>
          <w:lang w:val="en-US" w:eastAsia="zh-CN"/>
        </w:rPr>
      </w:pPr>
    </w:p>
    <w:p w14:paraId="30C78658" w14:textId="4C8C9A18" w:rsidR="00F7734D" w:rsidRPr="00BB58A8" w:rsidRDefault="00A15D8A" w:rsidP="00BB58A8">
      <w:pPr>
        <w:pStyle w:val="ListParagraph"/>
        <w:numPr>
          <w:ilvl w:val="0"/>
          <w:numId w:val="278"/>
        </w:numPr>
        <w:rPr>
          <w:rFonts w:eastAsia="SimSun"/>
          <w:lang w:val="en-US" w:eastAsia="zh-CN"/>
        </w:rPr>
      </w:pPr>
      <w:r w:rsidRPr="00BB58A8">
        <w:rPr>
          <w:rFonts w:eastAsia="SimSun"/>
          <w:lang w:val="en-US" w:eastAsia="zh-CN"/>
        </w:rPr>
        <w:t xml:space="preserve">On </w:t>
      </w:r>
      <w:r w:rsidR="00266F63" w:rsidRPr="00BB58A8">
        <w:rPr>
          <w:rFonts w:eastAsia="SimSun"/>
          <w:lang w:val="en-US" w:eastAsia="zh-CN"/>
        </w:rPr>
        <w:t>whether/how to define UE behavior in case of miss detection</w:t>
      </w:r>
    </w:p>
    <w:p w14:paraId="064434DF" w14:textId="27532A5C" w:rsidR="00604B66" w:rsidRDefault="00A15D8A" w:rsidP="000C1E7C">
      <w:pPr>
        <w:rPr>
          <w:rFonts w:eastAsia="SimSun"/>
          <w:lang w:eastAsia="zh-CN"/>
        </w:rPr>
      </w:pPr>
      <w:r>
        <w:rPr>
          <w:rFonts w:eastAsia="SimSun"/>
          <w:lang w:eastAsia="zh-CN"/>
        </w:rPr>
        <w:t>As proposed in [R1-1910598]</w:t>
      </w:r>
      <w:r w:rsidR="00BF2EF4">
        <w:rPr>
          <w:rFonts w:eastAsia="SimSun"/>
          <w:lang w:eastAsia="zh-CN"/>
        </w:rPr>
        <w:t xml:space="preserve">, </w:t>
      </w:r>
      <w:r w:rsidR="00604B66">
        <w:rPr>
          <w:rFonts w:eastAsia="SimSun"/>
          <w:lang w:eastAsia="zh-CN"/>
        </w:rPr>
        <w:t xml:space="preserve">we think </w:t>
      </w:r>
      <w:r w:rsidR="00BF2EF4">
        <w:rPr>
          <w:rFonts w:eastAsia="SimSun"/>
          <w:lang w:eastAsia="zh-CN"/>
        </w:rPr>
        <w:t xml:space="preserve">the application delay </w:t>
      </w:r>
      <w:r w:rsidR="00604B66">
        <w:rPr>
          <w:rFonts w:eastAsia="SimSun"/>
          <w:lang w:eastAsia="zh-CN"/>
        </w:rPr>
        <w:t>design may bring</w:t>
      </w:r>
      <w:r w:rsidR="00BF2EF4">
        <w:rPr>
          <w:rFonts w:eastAsia="SimSun"/>
          <w:lang w:eastAsia="zh-CN"/>
        </w:rPr>
        <w:t xml:space="preserve"> the </w:t>
      </w:r>
      <w:r w:rsidR="00BB20A5">
        <w:rPr>
          <w:rFonts w:eastAsia="SimSun"/>
          <w:lang w:eastAsia="zh-CN"/>
        </w:rPr>
        <w:t xml:space="preserve">effectiveness to avoid </w:t>
      </w:r>
      <w:r w:rsidR="00BF2EF4">
        <w:rPr>
          <w:rFonts w:eastAsia="SimSun"/>
          <w:lang w:eastAsia="zh-CN"/>
        </w:rPr>
        <w:t>potential miss detection</w:t>
      </w:r>
      <w:r w:rsidR="00BB20A5">
        <w:rPr>
          <w:rFonts w:eastAsia="SimSun"/>
          <w:lang w:eastAsia="zh-CN"/>
        </w:rPr>
        <w:t xml:space="preserve">. </w:t>
      </w:r>
      <w:r w:rsidR="00604B66">
        <w:rPr>
          <w:rFonts w:eastAsia="SimSun"/>
          <w:lang w:eastAsia="zh-CN"/>
        </w:rPr>
        <w:t xml:space="preserve">Since current application delay does not consider that, the error case of misalignment may happen with a probability of 1%, which is the typical miss detection rate of PDCCH. </w:t>
      </w:r>
    </w:p>
    <w:p w14:paraId="6AC4739E" w14:textId="0DEAC298" w:rsidR="00A15D8A" w:rsidRDefault="00BB20A5" w:rsidP="000C1E7C">
      <w:pPr>
        <w:rPr>
          <w:rFonts w:eastAsia="SimSun"/>
          <w:lang w:eastAsia="zh-CN"/>
        </w:rPr>
      </w:pPr>
      <w:r>
        <w:rPr>
          <w:rFonts w:eastAsia="SimSun"/>
          <w:lang w:eastAsia="zh-CN"/>
        </w:rPr>
        <w:t>When it happens, UE is not able t</w:t>
      </w:r>
      <w:r w:rsidR="004035AD">
        <w:rPr>
          <w:rFonts w:eastAsia="SimSun"/>
          <w:lang w:eastAsia="zh-CN"/>
        </w:rPr>
        <w:t xml:space="preserve">o identify that. </w:t>
      </w:r>
      <w:r w:rsidR="00933680">
        <w:rPr>
          <w:rFonts w:eastAsia="SimSun"/>
          <w:lang w:eastAsia="zh-CN"/>
        </w:rPr>
        <w:t>Only the gNB can make judgement on whether new indication is successfully delivered</w:t>
      </w:r>
      <w:r w:rsidR="003B35CB">
        <w:rPr>
          <w:rFonts w:eastAsia="SimSun"/>
          <w:lang w:eastAsia="zh-CN"/>
        </w:rPr>
        <w:t xml:space="preserve"> by detecting the HARQ-ACK/NACK or PUSCH transmission from UE. If gNB identifies the miss detection, it will further indicate the new value with another DCI. Thus self-recovery is possible without new UE behaviour, although some errors and throughput loss may last for a short while.</w:t>
      </w:r>
      <w:r w:rsidR="004035AD">
        <w:rPr>
          <w:rFonts w:eastAsia="SimSun"/>
          <w:lang w:eastAsia="zh-CN"/>
        </w:rPr>
        <w:t xml:space="preserve"> </w:t>
      </w:r>
      <w:r w:rsidR="004D70CD">
        <w:rPr>
          <w:rFonts w:eastAsia="SimSun"/>
          <w:lang w:eastAsia="zh-CN"/>
        </w:rPr>
        <w:t xml:space="preserve">For finalization of Rel.16 NR Power Saving feature, it is okay from our side not to further optimize that. </w:t>
      </w:r>
    </w:p>
    <w:p w14:paraId="12727352" w14:textId="0F240719" w:rsidR="00A15D8A" w:rsidRPr="00BB58A8" w:rsidRDefault="003B35CB" w:rsidP="000C1E7C">
      <w:pPr>
        <w:rPr>
          <w:rFonts w:eastAsia="SimSun"/>
          <w:b/>
          <w:lang w:eastAsia="zh-CN"/>
        </w:rPr>
      </w:pPr>
      <w:r w:rsidRPr="00BB58A8">
        <w:rPr>
          <w:rFonts w:eastAsia="SimSun"/>
          <w:b/>
          <w:lang w:eastAsia="zh-CN"/>
        </w:rPr>
        <w:t xml:space="preserve">Proposal </w:t>
      </w:r>
      <w:r w:rsidR="003A7824">
        <w:rPr>
          <w:rFonts w:eastAsia="SimSun"/>
          <w:b/>
          <w:lang w:eastAsia="zh-CN"/>
        </w:rPr>
        <w:t>6</w:t>
      </w:r>
      <w:r w:rsidRPr="00BB58A8">
        <w:rPr>
          <w:rFonts w:eastAsia="SimSun"/>
          <w:b/>
          <w:lang w:eastAsia="zh-CN"/>
        </w:rPr>
        <w:t xml:space="preserve">: </w:t>
      </w:r>
      <w:r w:rsidR="004D70CD">
        <w:rPr>
          <w:rFonts w:eastAsia="SimSun"/>
          <w:b/>
          <w:lang w:eastAsia="zh-CN"/>
        </w:rPr>
        <w:t>Although we think miss detection is critical and needs to be handled by application delay design, for sake of progress, n</w:t>
      </w:r>
      <w:r>
        <w:rPr>
          <w:rFonts w:eastAsia="SimSun"/>
          <w:b/>
          <w:lang w:eastAsia="zh-CN"/>
        </w:rPr>
        <w:t xml:space="preserve">o need to define UE behaviour </w:t>
      </w:r>
      <w:r w:rsidR="004D70CD">
        <w:rPr>
          <w:rFonts w:eastAsia="SimSun"/>
          <w:b/>
          <w:lang w:eastAsia="zh-CN"/>
        </w:rPr>
        <w:t>in case of miss detection.</w:t>
      </w:r>
    </w:p>
    <w:p w14:paraId="4A1386C2" w14:textId="6FA18F40" w:rsidR="005A4EC8" w:rsidRDefault="005A4EC8" w:rsidP="001F2C0B">
      <w:pPr>
        <w:rPr>
          <w:rFonts w:eastAsia="SimSun"/>
          <w:lang w:eastAsia="zh-CN"/>
        </w:rPr>
      </w:pPr>
    </w:p>
    <w:p w14:paraId="15B5C7B4" w14:textId="12321673" w:rsidR="00D90138" w:rsidRPr="00B02A3B" w:rsidRDefault="00D90138" w:rsidP="00B02A3B">
      <w:pPr>
        <w:pStyle w:val="Heading2"/>
      </w:pPr>
      <w:r w:rsidRPr="00B02A3B">
        <w:t>TDRA table restriction applicability</w:t>
      </w:r>
    </w:p>
    <w:p w14:paraId="2693EBFB" w14:textId="518BF411" w:rsidR="00D90138" w:rsidRDefault="006373E5" w:rsidP="001F2C0B">
      <w:pPr>
        <w:rPr>
          <w:rFonts w:eastAsia="SimSun"/>
          <w:lang w:eastAsia="zh-CN"/>
        </w:rPr>
      </w:pPr>
      <w:r>
        <w:rPr>
          <w:rStyle w:val="Hyperlink"/>
          <w:color w:val="auto"/>
          <w:u w:val="none"/>
        </w:rPr>
        <w:t>After receiving the L1-based minimum K0/K2 value indication in the USS, it is clear UE behaviour that UE shall apply the indicated minimum K0/K2 value combination for the afterwards data scheduling by DCI with C-RNTI and MCS-C-RNTI in the USS, in spite of fall-back or non-fall-back DCI. On the other hand, since UE-specific PDCCH with DCI format 0_0/1_0 can also be transmitted in the CSS, whether the minimum K0/K2 value should be applied can be discussed.</w:t>
      </w:r>
    </w:p>
    <w:p w14:paraId="4BF4C9C4" w14:textId="6FE08E3F" w:rsidR="00D90138" w:rsidRDefault="0096349F" w:rsidP="001F2C0B">
      <w:pPr>
        <w:rPr>
          <w:rStyle w:val="Hyperlink"/>
          <w:color w:val="auto"/>
          <w:u w:val="none"/>
          <w:lang w:val="en-US"/>
        </w:rPr>
      </w:pPr>
      <w:r>
        <w:rPr>
          <w:rStyle w:val="Hyperlink"/>
          <w:color w:val="auto"/>
          <w:u w:val="none"/>
        </w:rPr>
        <w:t>When cross</w:t>
      </w:r>
      <w:r>
        <w:rPr>
          <w:rStyle w:val="Hyperlink"/>
          <w:color w:val="auto"/>
          <w:u w:val="none"/>
          <w:lang w:val="en-US"/>
        </w:rPr>
        <w:t xml:space="preserve">-slot scheduling adaptation for power saving is configured, it is typically supposed that the </w:t>
      </w:r>
      <w:r w:rsidRPr="00A64552">
        <w:rPr>
          <w:rStyle w:val="Hyperlink"/>
          <w:color w:val="auto"/>
          <w:u w:val="none"/>
          <w:lang w:val="en-US"/>
        </w:rPr>
        <w:t xml:space="preserve">pdsch-TimeDomainAllocationList </w:t>
      </w:r>
      <w:r>
        <w:rPr>
          <w:rStyle w:val="Hyperlink"/>
          <w:color w:val="auto"/>
          <w:u w:val="none"/>
          <w:lang w:val="en-US"/>
        </w:rPr>
        <w:t xml:space="preserve">should be </w:t>
      </w:r>
      <w:r w:rsidRPr="00A64552">
        <w:rPr>
          <w:rStyle w:val="Hyperlink"/>
          <w:color w:val="auto"/>
          <w:u w:val="none"/>
          <w:lang w:val="en-US"/>
        </w:rPr>
        <w:t>provided in pdsch-Config</w:t>
      </w:r>
      <w:r>
        <w:rPr>
          <w:rStyle w:val="Hyperlink"/>
          <w:color w:val="auto"/>
          <w:u w:val="none"/>
          <w:lang w:val="en-US"/>
        </w:rPr>
        <w:t>, and pu</w:t>
      </w:r>
      <w:r w:rsidRPr="00A64552">
        <w:rPr>
          <w:rStyle w:val="Hyperlink"/>
          <w:color w:val="auto"/>
          <w:u w:val="none"/>
          <w:lang w:val="en-US"/>
        </w:rPr>
        <w:t>sch-TimeDomainAllocationList</w:t>
      </w:r>
      <w:r>
        <w:rPr>
          <w:rStyle w:val="Hyperlink"/>
          <w:color w:val="auto"/>
          <w:u w:val="none"/>
          <w:lang w:val="en-US"/>
        </w:rPr>
        <w:t xml:space="preserve"> in </w:t>
      </w:r>
      <w:r w:rsidRPr="00A64552">
        <w:rPr>
          <w:rStyle w:val="Hyperlink"/>
          <w:color w:val="auto"/>
          <w:u w:val="none"/>
          <w:lang w:val="en-US"/>
        </w:rPr>
        <w:t>pdsch-</w:t>
      </w:r>
      <w:r w:rsidRPr="00A64552">
        <w:rPr>
          <w:rStyle w:val="Hyperlink"/>
          <w:color w:val="auto"/>
          <w:u w:val="none"/>
          <w:lang w:val="en-US"/>
        </w:rPr>
        <w:lastRenderedPageBreak/>
        <w:t>Config</w:t>
      </w:r>
      <w:r>
        <w:rPr>
          <w:rStyle w:val="Hyperlink"/>
          <w:color w:val="auto"/>
          <w:u w:val="none"/>
          <w:lang w:val="en-US"/>
        </w:rPr>
        <w:t>, respectively. Thus, for all the UE-specific PDCCH in any common search space not associated with CORESET 0, PDSCH/PUSCH time domain allocation should follow the UE-specifically configured TDRA table.</w:t>
      </w:r>
    </w:p>
    <w:p w14:paraId="302B74DA" w14:textId="77777777" w:rsidR="0096349F" w:rsidRDefault="0096349F" w:rsidP="0096349F">
      <w:pPr>
        <w:rPr>
          <w:rStyle w:val="Hyperlink"/>
          <w:color w:val="auto"/>
          <w:u w:val="none"/>
          <w:lang w:val="en-US"/>
        </w:rPr>
      </w:pPr>
      <w:r>
        <w:rPr>
          <w:rStyle w:val="Hyperlink"/>
          <w:color w:val="auto"/>
          <w:u w:val="none"/>
          <w:lang w:val="en-US"/>
        </w:rPr>
        <w:t>Whilst for all the UE-specific PDCCH in any common search space associated with CORESET 0, there are two possible cases. [38.214, Sec 5.1.2.1.1 and Sec 6.1.2.1.1]</w:t>
      </w:r>
    </w:p>
    <w:p w14:paraId="0E2E9F72" w14:textId="77777777" w:rsidR="0096349F" w:rsidRDefault="0096349F" w:rsidP="0096349F">
      <w:pPr>
        <w:pStyle w:val="ListParagraph"/>
        <w:numPr>
          <w:ilvl w:val="0"/>
          <w:numId w:val="273"/>
        </w:numPr>
        <w:rPr>
          <w:rStyle w:val="Hyperlink"/>
          <w:color w:val="auto"/>
          <w:u w:val="none"/>
        </w:rPr>
      </w:pPr>
      <w:r>
        <w:rPr>
          <w:rStyle w:val="Hyperlink"/>
          <w:color w:val="auto"/>
          <w:u w:val="none"/>
        </w:rPr>
        <w:t xml:space="preserve">Case 1: If </w:t>
      </w:r>
      <w:r w:rsidRPr="00770745">
        <w:rPr>
          <w:rStyle w:val="Hyperlink"/>
          <w:color w:val="auto"/>
          <w:u w:val="none"/>
        </w:rPr>
        <w:t>pdsch-ConfigCommon includes pdsch-TimeDomainAllocationList</w:t>
      </w:r>
      <w:r>
        <w:rPr>
          <w:rStyle w:val="Hyperlink"/>
          <w:color w:val="auto"/>
          <w:u w:val="none"/>
        </w:rPr>
        <w:t>, and/or pusch-ConfigCommon includes pu</w:t>
      </w:r>
      <w:r w:rsidRPr="00770745">
        <w:rPr>
          <w:rStyle w:val="Hyperlink"/>
          <w:color w:val="auto"/>
          <w:u w:val="none"/>
        </w:rPr>
        <w:t>sch-TimeDomainAllocationList</w:t>
      </w:r>
      <w:r>
        <w:rPr>
          <w:rStyle w:val="Hyperlink"/>
          <w:color w:val="auto"/>
          <w:u w:val="none"/>
        </w:rPr>
        <w:t>, the common TDRA table is used.</w:t>
      </w:r>
    </w:p>
    <w:p w14:paraId="2DA7A07F" w14:textId="77777777" w:rsidR="0096349F" w:rsidRPr="00770745" w:rsidRDefault="0096349F" w:rsidP="0096349F">
      <w:pPr>
        <w:pStyle w:val="ListParagraph"/>
        <w:numPr>
          <w:ilvl w:val="0"/>
          <w:numId w:val="273"/>
        </w:numPr>
        <w:rPr>
          <w:rStyle w:val="Hyperlink"/>
          <w:color w:val="auto"/>
          <w:u w:val="none"/>
        </w:rPr>
      </w:pPr>
      <w:r>
        <w:rPr>
          <w:rStyle w:val="Hyperlink"/>
          <w:color w:val="auto"/>
          <w:u w:val="none"/>
        </w:rPr>
        <w:t>Case 2: Otherwise, the default table A is used.</w:t>
      </w:r>
    </w:p>
    <w:p w14:paraId="14BE048B" w14:textId="6416B978" w:rsidR="0096349F" w:rsidRDefault="0096349F" w:rsidP="001F2C0B">
      <w:pPr>
        <w:rPr>
          <w:rFonts w:eastAsia="SimSun"/>
          <w:lang w:eastAsia="zh-CN"/>
        </w:rPr>
      </w:pPr>
      <w:r w:rsidRPr="0096349F">
        <w:rPr>
          <w:rFonts w:eastAsia="SimSun"/>
          <w:lang w:eastAsia="zh-CN"/>
        </w:rPr>
        <w:t>Since for DL, the default table A only uses K0 = 0, it is not possible for UE to apply the indicated minimum K0 value as the same way as the search space not associated with CORESET 0, except the current specification is changed to make UE use the UE-specifically configured TDRA table. We also discussed this in our previous contributions that for common PDCCH, the power saving gain can not be achieved with all entries’ K0 = 0 anyway. UE-specific PDCCH in the same CSS would not save power by using cross-slot scheduling as well. It is because the UE has to buffer all the PDSCH and in the meanwhile the PDCCH processing timeline is not relaxed.</w:t>
      </w:r>
      <w:r w:rsidR="00530EB8">
        <w:rPr>
          <w:rFonts w:eastAsia="SimSun"/>
          <w:lang w:eastAsia="zh-CN"/>
        </w:rPr>
        <w:t xml:space="preserve"> However, for UL, the default table entries have more diversified K2 values. Thus the TDRA table restriction can still be applied.</w:t>
      </w:r>
    </w:p>
    <w:p w14:paraId="119E2C16" w14:textId="75E45788" w:rsidR="00530EB8" w:rsidRDefault="00530EB8" w:rsidP="001F2C0B">
      <w:pPr>
        <w:rPr>
          <w:rFonts w:eastAsia="SimSun"/>
          <w:lang w:eastAsia="zh-CN"/>
        </w:rPr>
      </w:pPr>
      <w:r>
        <w:rPr>
          <w:rFonts w:eastAsia="SimSun"/>
          <w:lang w:eastAsia="zh-CN"/>
        </w:rPr>
        <w:t>Therefore, we propose:</w:t>
      </w:r>
    </w:p>
    <w:p w14:paraId="7DC3119F" w14:textId="53573A69" w:rsidR="00530EB8" w:rsidRDefault="00530EB8" w:rsidP="00530EB8">
      <w:pPr>
        <w:rPr>
          <w:rStyle w:val="Hyperlink"/>
          <w:b/>
          <w:color w:val="auto"/>
          <w:u w:val="none"/>
        </w:rPr>
      </w:pPr>
      <w:r w:rsidRPr="00B02A3B">
        <w:rPr>
          <w:rFonts w:eastAsia="SimSun"/>
          <w:b/>
          <w:lang w:eastAsia="zh-CN"/>
        </w:rPr>
        <w:t xml:space="preserve">Proposal </w:t>
      </w:r>
      <w:r w:rsidR="003A7824">
        <w:rPr>
          <w:rFonts w:eastAsia="SimSun"/>
          <w:b/>
          <w:lang w:eastAsia="zh-CN"/>
        </w:rPr>
        <w:t>7</w:t>
      </w:r>
      <w:r w:rsidRPr="00B02A3B">
        <w:rPr>
          <w:rFonts w:eastAsia="SimSun"/>
          <w:b/>
          <w:lang w:eastAsia="zh-CN"/>
        </w:rPr>
        <w:t>:</w:t>
      </w:r>
      <w:r>
        <w:rPr>
          <w:rFonts w:eastAsia="SimSun"/>
          <w:lang w:eastAsia="zh-CN"/>
        </w:rPr>
        <w:t xml:space="preserve"> </w:t>
      </w:r>
      <w:r w:rsidRPr="00406C4F">
        <w:rPr>
          <w:rStyle w:val="Hyperlink"/>
          <w:b/>
          <w:color w:val="auto"/>
          <w:u w:val="none"/>
        </w:rPr>
        <w:t xml:space="preserve">If pdsch-ConfigCommon does not include pdsch-TimeDomainAllocationList, </w:t>
      </w:r>
      <w:r>
        <w:rPr>
          <w:rStyle w:val="Hyperlink"/>
          <w:b/>
          <w:color w:val="auto"/>
          <w:u w:val="none"/>
        </w:rPr>
        <w:t>TDRA table restriction</w:t>
      </w:r>
      <w:r w:rsidRPr="00406C4F">
        <w:rPr>
          <w:rStyle w:val="Hyperlink"/>
          <w:b/>
          <w:color w:val="auto"/>
          <w:u w:val="none"/>
        </w:rPr>
        <w:t xml:space="preserve"> does not apply to UE-specific PDCCH (C-RNTI, MCS-C-RNTI, and CS-RNTI) in any common search space associated with CORESET 0.</w:t>
      </w:r>
      <w:r>
        <w:rPr>
          <w:rStyle w:val="Hyperlink"/>
          <w:b/>
          <w:color w:val="auto"/>
          <w:u w:val="none"/>
        </w:rPr>
        <w:t xml:space="preserve"> </w:t>
      </w:r>
      <w:r w:rsidRPr="00406C4F">
        <w:rPr>
          <w:rStyle w:val="Hyperlink"/>
          <w:b/>
          <w:color w:val="auto"/>
          <w:u w:val="none"/>
        </w:rPr>
        <w:t xml:space="preserve">If </w:t>
      </w:r>
      <w:r w:rsidRPr="00530EB8">
        <w:rPr>
          <w:rStyle w:val="Hyperlink"/>
          <w:b/>
          <w:color w:val="auto"/>
          <w:u w:val="none"/>
        </w:rPr>
        <w:t>pusch-ConfigCommon</w:t>
      </w:r>
      <w:r w:rsidRPr="00406C4F">
        <w:rPr>
          <w:rStyle w:val="Hyperlink"/>
          <w:b/>
          <w:color w:val="auto"/>
          <w:u w:val="none"/>
        </w:rPr>
        <w:t xml:space="preserve"> does not include </w:t>
      </w:r>
      <w:r w:rsidRPr="00530EB8">
        <w:rPr>
          <w:rStyle w:val="Hyperlink"/>
          <w:b/>
          <w:color w:val="auto"/>
          <w:u w:val="none"/>
        </w:rPr>
        <w:t>pusch-TimeDomainAllocationList</w:t>
      </w:r>
      <w:r w:rsidRPr="00406C4F">
        <w:rPr>
          <w:rStyle w:val="Hyperlink"/>
          <w:b/>
          <w:color w:val="auto"/>
          <w:u w:val="none"/>
        </w:rPr>
        <w:t xml:space="preserve">, </w:t>
      </w:r>
      <w:r>
        <w:rPr>
          <w:rStyle w:val="Hyperlink"/>
          <w:b/>
          <w:color w:val="auto"/>
          <w:u w:val="none"/>
        </w:rPr>
        <w:t>TDRA table restriction</w:t>
      </w:r>
      <w:r w:rsidRPr="00406C4F">
        <w:rPr>
          <w:rStyle w:val="Hyperlink"/>
          <w:b/>
          <w:color w:val="auto"/>
          <w:u w:val="none"/>
        </w:rPr>
        <w:t xml:space="preserve"> </w:t>
      </w:r>
      <w:r>
        <w:rPr>
          <w:rStyle w:val="Hyperlink"/>
          <w:b/>
          <w:color w:val="auto"/>
          <w:u w:val="none"/>
        </w:rPr>
        <w:t>applies</w:t>
      </w:r>
      <w:r w:rsidRPr="00406C4F">
        <w:rPr>
          <w:rStyle w:val="Hyperlink"/>
          <w:b/>
          <w:color w:val="auto"/>
          <w:u w:val="none"/>
        </w:rPr>
        <w:t xml:space="preserve"> to UE-specific PDCCH (C-RNTI, MCS-C-RNTI, and CS-RNTI) in any common search space associated with CORESET 0.</w:t>
      </w:r>
      <w:r>
        <w:rPr>
          <w:rStyle w:val="Hyperlink"/>
          <w:b/>
          <w:color w:val="auto"/>
          <w:u w:val="none"/>
        </w:rPr>
        <w:t xml:space="preserve"> </w:t>
      </w:r>
    </w:p>
    <w:p w14:paraId="28429E64" w14:textId="729EA092" w:rsidR="00530EB8" w:rsidRDefault="00530EB8" w:rsidP="00530EB8">
      <w:pPr>
        <w:rPr>
          <w:rStyle w:val="Hyperlink"/>
          <w:color w:val="auto"/>
          <w:u w:val="none"/>
        </w:rPr>
      </w:pPr>
      <w:r>
        <w:rPr>
          <w:rStyle w:val="Hyperlink"/>
          <w:color w:val="auto"/>
          <w:u w:val="none"/>
        </w:rPr>
        <w:t xml:space="preserve">As for Case 1, actually the gNB can possibly configure a common TDRA table, whose entries employ more diversified K0 values other than K0 = 0. In this case, it is eligible to allow UE to save power by using cross-slot scheduling. </w:t>
      </w:r>
      <w:r w:rsidRPr="00307E2D">
        <w:rPr>
          <w:rStyle w:val="Hyperlink"/>
          <w:color w:val="auto"/>
          <w:u w:val="none"/>
        </w:rPr>
        <w:t xml:space="preserve">However, </w:t>
      </w:r>
      <w:r>
        <w:rPr>
          <w:rStyle w:val="Hyperlink"/>
          <w:color w:val="auto"/>
          <w:u w:val="none"/>
        </w:rPr>
        <w:t xml:space="preserve">if the configured common TDRA table’s entries use only identical K0 value, e.g. only K0 = 0, it is also not </w:t>
      </w:r>
      <w:r w:rsidR="00AB28CF">
        <w:rPr>
          <w:rStyle w:val="Hyperlink"/>
          <w:color w:val="auto"/>
          <w:u w:val="none"/>
        </w:rPr>
        <w:t>possible</w:t>
      </w:r>
      <w:r>
        <w:rPr>
          <w:rStyle w:val="Hyperlink"/>
          <w:color w:val="auto"/>
          <w:u w:val="none"/>
        </w:rPr>
        <w:t xml:space="preserve"> for UE to use cross-slot scheduling to save power. </w:t>
      </w:r>
      <w:r w:rsidR="00AB28CF">
        <w:rPr>
          <w:rStyle w:val="Hyperlink"/>
          <w:color w:val="auto"/>
          <w:u w:val="none"/>
        </w:rPr>
        <w:t xml:space="preserve">It is also important that the indicated minimum K0 value should be within the range of the K0 value of the common TDRA table entries. </w:t>
      </w:r>
      <w:r w:rsidR="00E53B09">
        <w:rPr>
          <w:rStyle w:val="Hyperlink"/>
          <w:color w:val="auto"/>
          <w:u w:val="none"/>
        </w:rPr>
        <w:t>Same philosophy</w:t>
      </w:r>
      <w:r w:rsidR="00D92CDE">
        <w:rPr>
          <w:rStyle w:val="Hyperlink"/>
          <w:color w:val="auto"/>
          <w:u w:val="none"/>
        </w:rPr>
        <w:t xml:space="preserve"> also applies for UL case.</w:t>
      </w:r>
      <w:r w:rsidR="00E53B09">
        <w:rPr>
          <w:rStyle w:val="Hyperlink"/>
          <w:color w:val="auto"/>
          <w:u w:val="none"/>
        </w:rPr>
        <w:t xml:space="preserve"> </w:t>
      </w:r>
      <w:r>
        <w:rPr>
          <w:rStyle w:val="Hyperlink"/>
          <w:color w:val="auto"/>
          <w:u w:val="none"/>
        </w:rPr>
        <w:t>Then we propose:</w:t>
      </w:r>
    </w:p>
    <w:p w14:paraId="31B4A3BD" w14:textId="5468A416" w:rsidR="00530EB8" w:rsidRDefault="00530EB8" w:rsidP="00530EB8">
      <w:pPr>
        <w:rPr>
          <w:rStyle w:val="Hyperlink"/>
          <w:b/>
          <w:color w:val="auto"/>
          <w:u w:val="none"/>
        </w:rPr>
      </w:pPr>
      <w:r>
        <w:rPr>
          <w:rStyle w:val="Hyperlink"/>
          <w:b/>
          <w:color w:val="auto"/>
          <w:u w:val="none"/>
        </w:rPr>
        <w:t xml:space="preserve">Proposal </w:t>
      </w:r>
      <w:r w:rsidR="003A7824">
        <w:rPr>
          <w:rStyle w:val="Hyperlink"/>
          <w:b/>
          <w:color w:val="auto"/>
          <w:u w:val="none"/>
        </w:rPr>
        <w:t>8</w:t>
      </w:r>
      <w:r>
        <w:rPr>
          <w:rStyle w:val="Hyperlink"/>
          <w:b/>
          <w:color w:val="auto"/>
          <w:u w:val="none"/>
        </w:rPr>
        <w:t xml:space="preserve">: </w:t>
      </w:r>
      <w:r w:rsidRPr="00E47ABE">
        <w:rPr>
          <w:rStyle w:val="Hyperlink"/>
          <w:b/>
          <w:color w:val="auto"/>
          <w:u w:val="none"/>
        </w:rPr>
        <w:t xml:space="preserve">If </w:t>
      </w:r>
      <w:r w:rsidRPr="00406C4F">
        <w:rPr>
          <w:rStyle w:val="Hyperlink"/>
          <w:b/>
          <w:color w:val="auto"/>
          <w:u w:val="none"/>
        </w:rPr>
        <w:t>pdsch-ConfigCommon include</w:t>
      </w:r>
      <w:r>
        <w:rPr>
          <w:rStyle w:val="Hyperlink"/>
          <w:b/>
          <w:color w:val="auto"/>
          <w:u w:val="none"/>
        </w:rPr>
        <w:t>s</w:t>
      </w:r>
      <w:r w:rsidRPr="00406C4F">
        <w:rPr>
          <w:rStyle w:val="Hyperlink"/>
          <w:b/>
          <w:color w:val="auto"/>
          <w:u w:val="none"/>
        </w:rPr>
        <w:t xml:space="preserve"> pdsch-TimeDomainAllocationList</w:t>
      </w:r>
      <w:r>
        <w:rPr>
          <w:rStyle w:val="Hyperlink"/>
          <w:b/>
          <w:color w:val="auto"/>
          <w:u w:val="none"/>
        </w:rPr>
        <w:t xml:space="preserve"> and </w:t>
      </w:r>
      <w:r w:rsidR="00AB28CF">
        <w:rPr>
          <w:rStyle w:val="Hyperlink"/>
          <w:b/>
          <w:color w:val="auto"/>
          <w:u w:val="none"/>
        </w:rPr>
        <w:t>the indicated minimum K0 value is within the range of the K0 values of the common TDRA table entries, TDRA table restriction</w:t>
      </w:r>
      <w:r>
        <w:rPr>
          <w:rStyle w:val="Hyperlink"/>
          <w:b/>
          <w:color w:val="auto"/>
          <w:u w:val="none"/>
        </w:rPr>
        <w:t xml:space="preserve"> applies to UE specific PDCCH </w:t>
      </w:r>
      <w:r w:rsidRPr="00406C4F">
        <w:rPr>
          <w:rStyle w:val="Hyperlink"/>
          <w:b/>
          <w:color w:val="auto"/>
          <w:u w:val="none"/>
        </w:rPr>
        <w:t>(C-RNTI, MCS-C-RNTI, and CS-RNTI) in any common search space associated with CORESET 0.</w:t>
      </w:r>
      <w:r w:rsidR="00D92CDE">
        <w:rPr>
          <w:rStyle w:val="Hyperlink"/>
          <w:b/>
          <w:color w:val="auto"/>
          <w:u w:val="none"/>
        </w:rPr>
        <w:t xml:space="preserve"> This principle also applies for UL case.</w:t>
      </w:r>
    </w:p>
    <w:p w14:paraId="2AAC5E91" w14:textId="5184F9B9" w:rsidR="00530EB8" w:rsidRDefault="00D92CDE" w:rsidP="00530EB8">
      <w:pPr>
        <w:rPr>
          <w:rStyle w:val="Hyperlink"/>
          <w:color w:val="auto"/>
          <w:u w:val="none"/>
        </w:rPr>
      </w:pPr>
      <w:r w:rsidRPr="00B02A3B">
        <w:rPr>
          <w:rStyle w:val="Hyperlink"/>
          <w:color w:val="auto"/>
          <w:u w:val="none"/>
        </w:rPr>
        <w:t>On the other hand, it is possible that indicated minimum K0 value is within the range of dedicated TDRA table but outside the range of common TDRA table</w:t>
      </w:r>
      <w:r>
        <w:rPr>
          <w:rStyle w:val="Hyperlink"/>
          <w:color w:val="auto"/>
          <w:u w:val="none"/>
        </w:rPr>
        <w:t>. In this case, UE behaviour should also be clarified that either restriction is not applied or the monitoring occasions associated with CORESET 0 are skipped.</w:t>
      </w:r>
    </w:p>
    <w:p w14:paraId="756D19E0" w14:textId="21C17E57" w:rsidR="00D92CDE" w:rsidRPr="00B02A3B" w:rsidRDefault="00D92CDE" w:rsidP="00530EB8">
      <w:pPr>
        <w:rPr>
          <w:rStyle w:val="Hyperlink"/>
          <w:color w:val="auto"/>
          <w:u w:val="none"/>
          <w:lang w:val="en-US"/>
        </w:rPr>
      </w:pPr>
      <w:r>
        <w:rPr>
          <w:rStyle w:val="Hyperlink"/>
          <w:color w:val="auto"/>
          <w:u w:val="none"/>
        </w:rPr>
        <w:t xml:space="preserve">Although rather rare and not so typical, but it is also possible that the </w:t>
      </w:r>
      <w:r w:rsidRPr="00A64552">
        <w:rPr>
          <w:rStyle w:val="Hyperlink"/>
          <w:color w:val="auto"/>
          <w:u w:val="none"/>
          <w:lang w:val="en-US"/>
        </w:rPr>
        <w:t xml:space="preserve">pdsch-TimeDomainAllocationList </w:t>
      </w:r>
      <w:r>
        <w:rPr>
          <w:rStyle w:val="Hyperlink"/>
          <w:color w:val="auto"/>
          <w:u w:val="none"/>
          <w:lang w:val="en-US"/>
        </w:rPr>
        <w:t xml:space="preserve">is not provided </w:t>
      </w:r>
      <w:r w:rsidRPr="00A64552">
        <w:rPr>
          <w:rStyle w:val="Hyperlink"/>
          <w:color w:val="auto"/>
          <w:u w:val="none"/>
          <w:lang w:val="en-US"/>
        </w:rPr>
        <w:t>in pdsch-Config</w:t>
      </w:r>
      <w:r>
        <w:rPr>
          <w:rStyle w:val="Hyperlink"/>
          <w:color w:val="auto"/>
          <w:u w:val="none"/>
          <w:lang w:val="en-US"/>
        </w:rPr>
        <w:t xml:space="preserve"> but </w:t>
      </w:r>
      <w:r w:rsidR="00C6055B">
        <w:rPr>
          <w:rStyle w:val="Hyperlink"/>
          <w:color w:val="auto"/>
          <w:u w:val="none"/>
          <w:lang w:val="en-US"/>
        </w:rPr>
        <w:t>provided in pdsch-ConfigCommon. Then the same discussion for CSS associated with CORESET 0 can also be applied to all the USS and CSS. Because in this case, common TDRA table will apply to all the search space for both common and UE-specific RNTI.</w:t>
      </w:r>
      <w:r w:rsidR="00C6055B">
        <w:rPr>
          <w:rStyle w:val="Hyperlink"/>
          <w:color w:val="auto"/>
          <w:u w:val="none"/>
          <w:lang w:val="en-US"/>
        </w:rPr>
        <w:br/>
      </w:r>
    </w:p>
    <w:p w14:paraId="53FF0573" w14:textId="4D6BC6F1" w:rsidR="00530EB8" w:rsidRPr="00B02A3B" w:rsidRDefault="00C6055B" w:rsidP="001F2C0B">
      <w:pPr>
        <w:rPr>
          <w:rFonts w:eastAsia="SimSun"/>
          <w:b/>
          <w:lang w:eastAsia="zh-CN"/>
        </w:rPr>
      </w:pPr>
      <w:r w:rsidRPr="00B02A3B">
        <w:rPr>
          <w:rFonts w:eastAsia="SimSun"/>
          <w:b/>
          <w:lang w:eastAsia="zh-CN"/>
        </w:rPr>
        <w:t xml:space="preserve">Proposal </w:t>
      </w:r>
      <w:r w:rsidR="003A7824">
        <w:rPr>
          <w:rFonts w:eastAsia="SimSun"/>
          <w:b/>
          <w:lang w:eastAsia="zh-CN"/>
        </w:rPr>
        <w:t>9</w:t>
      </w:r>
      <w:r w:rsidRPr="00B02A3B">
        <w:rPr>
          <w:rFonts w:eastAsia="SimSun"/>
          <w:b/>
          <w:lang w:eastAsia="zh-CN"/>
        </w:rPr>
        <w:t xml:space="preserve">: If </w:t>
      </w:r>
      <w:r w:rsidRPr="00B02A3B">
        <w:rPr>
          <w:rStyle w:val="Hyperlink"/>
          <w:b/>
          <w:color w:val="auto"/>
          <w:u w:val="none"/>
        </w:rPr>
        <w:t xml:space="preserve">the </w:t>
      </w:r>
      <w:r w:rsidRPr="00B02A3B">
        <w:rPr>
          <w:rStyle w:val="Hyperlink"/>
          <w:b/>
          <w:color w:val="auto"/>
          <w:u w:val="none"/>
          <w:lang w:val="en-US"/>
        </w:rPr>
        <w:t xml:space="preserve">pdsch-TimeDomainAllocationList is not provided in pdsch-Config but provided in pdsch-ConfigCommon, proposal </w:t>
      </w:r>
      <w:r w:rsidR="00147A77">
        <w:rPr>
          <w:rStyle w:val="Hyperlink"/>
          <w:b/>
          <w:color w:val="auto"/>
          <w:u w:val="none"/>
          <w:lang w:val="en-US"/>
        </w:rPr>
        <w:t>5</w:t>
      </w:r>
      <w:r w:rsidRPr="00B02A3B">
        <w:rPr>
          <w:rStyle w:val="Hyperlink"/>
          <w:b/>
          <w:color w:val="auto"/>
          <w:u w:val="none"/>
          <w:lang w:val="en-US"/>
        </w:rPr>
        <w:t xml:space="preserve"> and </w:t>
      </w:r>
      <w:r w:rsidR="00147A77">
        <w:rPr>
          <w:rStyle w:val="Hyperlink"/>
          <w:b/>
          <w:color w:val="auto"/>
          <w:u w:val="none"/>
          <w:lang w:val="en-US"/>
        </w:rPr>
        <w:t>6</w:t>
      </w:r>
      <w:r w:rsidRPr="00B02A3B">
        <w:rPr>
          <w:rStyle w:val="Hyperlink"/>
          <w:b/>
          <w:color w:val="auto"/>
          <w:u w:val="none"/>
          <w:lang w:val="en-US"/>
        </w:rPr>
        <w:t xml:space="preserve"> would apply to all the search spaces.</w:t>
      </w:r>
    </w:p>
    <w:p w14:paraId="097F42D9" w14:textId="77777777" w:rsidR="00062D49" w:rsidRDefault="00062D49" w:rsidP="000E7739">
      <w:pPr>
        <w:pStyle w:val="Heading1"/>
        <w:ind w:left="0" w:firstLine="0"/>
      </w:pPr>
      <w:r>
        <w:rPr>
          <w:rFonts w:hint="eastAsia"/>
        </w:rPr>
        <w:t>Conclusions</w:t>
      </w:r>
    </w:p>
    <w:p w14:paraId="72343DC5" w14:textId="323A7C13" w:rsidR="00062D49" w:rsidRDefault="00062D49" w:rsidP="000E7739">
      <w:pPr>
        <w:rPr>
          <w:lang w:val="en-US" w:eastAsia="ja-JP"/>
        </w:rPr>
      </w:pPr>
      <w:r>
        <w:rPr>
          <w:lang w:val="en-US" w:eastAsia="ja-JP"/>
        </w:rPr>
        <w:t>This contribution provide</w:t>
      </w:r>
      <w:r w:rsidR="00502B1D">
        <w:rPr>
          <w:lang w:val="en-US" w:eastAsia="ja-JP"/>
        </w:rPr>
        <w:t>s</w:t>
      </w:r>
      <w:r>
        <w:rPr>
          <w:lang w:val="en-US" w:eastAsia="ja-JP"/>
        </w:rPr>
        <w:t xml:space="preserve"> </w:t>
      </w:r>
      <w:r w:rsidR="002D6766">
        <w:rPr>
          <w:lang w:val="en-US" w:eastAsia="ja-JP"/>
        </w:rPr>
        <w:t xml:space="preserve">our considerations on the </w:t>
      </w:r>
      <w:r w:rsidR="00B73B77">
        <w:rPr>
          <w:lang w:val="en-US" w:eastAsia="ja-JP"/>
        </w:rPr>
        <w:t xml:space="preserve">cross-slot </w:t>
      </w:r>
      <w:r w:rsidR="002D6766">
        <w:rPr>
          <w:lang w:val="en-US" w:eastAsia="ja-JP"/>
        </w:rPr>
        <w:t>procedure</w:t>
      </w:r>
      <w:r w:rsidR="00B73B77">
        <w:rPr>
          <w:lang w:val="en-US" w:eastAsia="ja-JP"/>
        </w:rPr>
        <w:t>s for power saving</w:t>
      </w:r>
      <w:r w:rsidR="002D6766">
        <w:rPr>
          <w:lang w:val="en-US" w:eastAsia="ja-JP"/>
        </w:rPr>
        <w:t>. The conclusions are summarized below:</w:t>
      </w:r>
    </w:p>
    <w:p w14:paraId="083D27D4" w14:textId="77777777" w:rsidR="00BB58A8" w:rsidRPr="00BB58A8" w:rsidRDefault="00BB58A8" w:rsidP="00BB58A8">
      <w:pPr>
        <w:rPr>
          <w:rFonts w:eastAsia="SimSun"/>
          <w:b/>
          <w:lang w:val="en-US" w:eastAsia="zh-CN"/>
        </w:rPr>
      </w:pPr>
      <w:r w:rsidRPr="00BB58A8">
        <w:rPr>
          <w:rFonts w:eastAsia="SimSun"/>
          <w:b/>
          <w:lang w:val="en-US" w:eastAsia="zh-CN"/>
        </w:rPr>
        <w:t xml:space="preserve">Proposal 1: </w:t>
      </w:r>
      <w:r>
        <w:rPr>
          <w:rFonts w:eastAsia="SimSun"/>
          <w:b/>
          <w:lang w:val="en-US" w:eastAsia="zh-CN"/>
        </w:rPr>
        <w:t>If Rel.16 supports the indicated minimum applicable K0/K2 value(s) for a scheduled cell triggered by a cross-carrier scheduling DCI, the application delay is the same with same-carrier scheduling case.</w:t>
      </w:r>
    </w:p>
    <w:p w14:paraId="11247201" w14:textId="77777777" w:rsidR="00BB58A8" w:rsidRDefault="00BB58A8" w:rsidP="00BB58A8">
      <w:pPr>
        <w:rPr>
          <w:rFonts w:eastAsia="SimSun"/>
          <w:b/>
          <w:lang w:val="en-US" w:eastAsia="zh-CN"/>
        </w:rPr>
      </w:pPr>
      <w:r w:rsidRPr="00BB58A8">
        <w:rPr>
          <w:rFonts w:eastAsia="SimSun"/>
          <w:b/>
          <w:lang w:val="en-US" w:eastAsia="zh-CN"/>
        </w:rPr>
        <w:t>Proposal 2: For PDCCH monitoring case 1-2</w:t>
      </w:r>
      <w:r>
        <w:rPr>
          <w:rFonts w:eastAsia="SimSun"/>
          <w:b/>
          <w:lang w:val="en-US" w:eastAsia="zh-CN"/>
        </w:rPr>
        <w:t xml:space="preserve">, the application delay is the same as case 1-1. Whether the UE can achieve this to support the minimum K0/K2 value indication is up to a UE capability. </w:t>
      </w:r>
    </w:p>
    <w:p w14:paraId="3E3650E1" w14:textId="77777777" w:rsidR="00BB58A8" w:rsidRPr="00BB58A8" w:rsidRDefault="00BB58A8" w:rsidP="00BB58A8">
      <w:pPr>
        <w:rPr>
          <w:rFonts w:eastAsia="SimSun"/>
          <w:b/>
          <w:lang w:val="en-US" w:eastAsia="zh-CN"/>
        </w:rPr>
      </w:pPr>
      <w:r>
        <w:rPr>
          <w:rFonts w:eastAsia="SimSun"/>
          <w:b/>
          <w:lang w:val="en-US" w:eastAsia="zh-CN"/>
        </w:rPr>
        <w:lastRenderedPageBreak/>
        <w:t>Proposal 3: For PDCCH monitoring case 2, it is not supported to indicate minimum K0/K2 value for cross-slot scheduling adaptation in Rel.16</w:t>
      </w:r>
    </w:p>
    <w:p w14:paraId="63392562" w14:textId="77777777" w:rsidR="008C0648" w:rsidRPr="00BB58A8" w:rsidRDefault="008C0648" w:rsidP="008C0648">
      <w:pPr>
        <w:rPr>
          <w:rFonts w:eastAsia="SimSun"/>
          <w:b/>
          <w:lang w:val="en-US" w:eastAsia="zh-CN"/>
        </w:rPr>
      </w:pPr>
      <w:r w:rsidRPr="00BB58A8">
        <w:rPr>
          <w:rFonts w:eastAsia="SimSun"/>
          <w:b/>
          <w:lang w:val="en-US" w:eastAsia="zh-CN"/>
        </w:rPr>
        <w:t xml:space="preserve">Proposal </w:t>
      </w:r>
      <w:r>
        <w:rPr>
          <w:rFonts w:eastAsia="SimSun"/>
          <w:b/>
          <w:lang w:val="en-US" w:eastAsia="zh-CN"/>
        </w:rPr>
        <w:t>4</w:t>
      </w:r>
      <w:r w:rsidRPr="00BB58A8">
        <w:rPr>
          <w:rFonts w:eastAsia="SimSun"/>
          <w:b/>
          <w:lang w:val="en-US" w:eastAsia="zh-CN"/>
        </w:rPr>
        <w:t>: No need to add a delay for adaptation from same-slot scheduling to cross-slot scheduling before potential data retransmission(s) is finished.</w:t>
      </w:r>
    </w:p>
    <w:p w14:paraId="2943278E" w14:textId="442EE299" w:rsidR="00BF0B61" w:rsidRDefault="008C0648" w:rsidP="008C0A8E">
      <w:pPr>
        <w:rPr>
          <w:rFonts w:eastAsia="SimSun"/>
          <w:b/>
          <w:lang w:val="en-US" w:eastAsia="zh-CN"/>
        </w:rPr>
      </w:pPr>
      <w:r w:rsidRPr="00BB58A8">
        <w:rPr>
          <w:rFonts w:eastAsia="SimSun"/>
          <w:b/>
          <w:lang w:val="en-US" w:eastAsia="zh-CN"/>
        </w:rPr>
        <w:t xml:space="preserve">Proposal </w:t>
      </w:r>
      <w:r>
        <w:rPr>
          <w:rFonts w:eastAsia="SimSun"/>
          <w:b/>
          <w:lang w:val="en-US" w:eastAsia="zh-CN"/>
        </w:rPr>
        <w:t>5</w:t>
      </w:r>
      <w:r w:rsidRPr="00BB58A8">
        <w:rPr>
          <w:rFonts w:eastAsia="SimSun"/>
          <w:b/>
          <w:lang w:val="en-US" w:eastAsia="zh-CN"/>
        </w:rPr>
        <w:t>: No need to define an upper bound for the application delay for the cross-slot scheduling adaptation.</w:t>
      </w:r>
    </w:p>
    <w:p w14:paraId="078F7D98" w14:textId="5EDC4108" w:rsidR="008C0648" w:rsidRDefault="008C0648" w:rsidP="008C0648">
      <w:pPr>
        <w:rPr>
          <w:rFonts w:eastAsia="SimSun"/>
          <w:b/>
          <w:lang w:eastAsia="zh-CN"/>
        </w:rPr>
      </w:pPr>
      <w:r w:rsidRPr="00BB58A8">
        <w:rPr>
          <w:rFonts w:eastAsia="SimSun"/>
          <w:b/>
          <w:lang w:eastAsia="zh-CN"/>
        </w:rPr>
        <w:t xml:space="preserve">Proposal </w:t>
      </w:r>
      <w:r>
        <w:rPr>
          <w:rFonts w:eastAsia="SimSun"/>
          <w:b/>
          <w:lang w:eastAsia="zh-CN"/>
        </w:rPr>
        <w:t>6</w:t>
      </w:r>
      <w:r w:rsidRPr="00BB58A8">
        <w:rPr>
          <w:rFonts w:eastAsia="SimSun"/>
          <w:b/>
          <w:lang w:eastAsia="zh-CN"/>
        </w:rPr>
        <w:t xml:space="preserve">: </w:t>
      </w:r>
      <w:r>
        <w:rPr>
          <w:rFonts w:eastAsia="SimSun"/>
          <w:b/>
          <w:lang w:eastAsia="zh-CN"/>
        </w:rPr>
        <w:t>Although we think miss detection is critical and needs to be handled by application delay design, for sake of progress, no need to define UE behaviour in case of miss detection.</w:t>
      </w:r>
    </w:p>
    <w:p w14:paraId="1BACEDEA" w14:textId="77777777" w:rsidR="008C0648" w:rsidRDefault="008C0648" w:rsidP="008C0648">
      <w:pPr>
        <w:rPr>
          <w:rStyle w:val="Hyperlink"/>
          <w:b/>
          <w:color w:val="auto"/>
          <w:u w:val="none"/>
        </w:rPr>
      </w:pPr>
      <w:r w:rsidRPr="00B02A3B">
        <w:rPr>
          <w:rFonts w:eastAsia="SimSun"/>
          <w:b/>
          <w:lang w:eastAsia="zh-CN"/>
        </w:rPr>
        <w:t xml:space="preserve">Proposal </w:t>
      </w:r>
      <w:r>
        <w:rPr>
          <w:rFonts w:eastAsia="SimSun"/>
          <w:b/>
          <w:lang w:eastAsia="zh-CN"/>
        </w:rPr>
        <w:t>7</w:t>
      </w:r>
      <w:r w:rsidRPr="00B02A3B">
        <w:rPr>
          <w:rFonts w:eastAsia="SimSun"/>
          <w:b/>
          <w:lang w:eastAsia="zh-CN"/>
        </w:rPr>
        <w:t>:</w:t>
      </w:r>
      <w:r>
        <w:rPr>
          <w:rFonts w:eastAsia="SimSun"/>
          <w:lang w:eastAsia="zh-CN"/>
        </w:rPr>
        <w:t xml:space="preserve"> </w:t>
      </w:r>
      <w:r w:rsidRPr="00406C4F">
        <w:rPr>
          <w:rStyle w:val="Hyperlink"/>
          <w:b/>
          <w:color w:val="auto"/>
          <w:u w:val="none"/>
        </w:rPr>
        <w:t xml:space="preserve">If pdsch-ConfigCommon does not include pdsch-TimeDomainAllocationList, </w:t>
      </w:r>
      <w:r>
        <w:rPr>
          <w:rStyle w:val="Hyperlink"/>
          <w:b/>
          <w:color w:val="auto"/>
          <w:u w:val="none"/>
        </w:rPr>
        <w:t>TDRA table restriction</w:t>
      </w:r>
      <w:r w:rsidRPr="00406C4F">
        <w:rPr>
          <w:rStyle w:val="Hyperlink"/>
          <w:b/>
          <w:color w:val="auto"/>
          <w:u w:val="none"/>
        </w:rPr>
        <w:t xml:space="preserve"> does not apply to UE-specific PDCCH (C-RNTI, MCS-C-RNTI, and CS-RNTI) in any common search space associated with CORESET 0.</w:t>
      </w:r>
      <w:r>
        <w:rPr>
          <w:rStyle w:val="Hyperlink"/>
          <w:b/>
          <w:color w:val="auto"/>
          <w:u w:val="none"/>
        </w:rPr>
        <w:t xml:space="preserve"> </w:t>
      </w:r>
      <w:r w:rsidRPr="00406C4F">
        <w:rPr>
          <w:rStyle w:val="Hyperlink"/>
          <w:b/>
          <w:color w:val="auto"/>
          <w:u w:val="none"/>
        </w:rPr>
        <w:t xml:space="preserve">If </w:t>
      </w:r>
      <w:r w:rsidRPr="00530EB8">
        <w:rPr>
          <w:rStyle w:val="Hyperlink"/>
          <w:b/>
          <w:color w:val="auto"/>
          <w:u w:val="none"/>
        </w:rPr>
        <w:t>pusch-ConfigCommon</w:t>
      </w:r>
      <w:r w:rsidRPr="00406C4F">
        <w:rPr>
          <w:rStyle w:val="Hyperlink"/>
          <w:b/>
          <w:color w:val="auto"/>
          <w:u w:val="none"/>
        </w:rPr>
        <w:t xml:space="preserve"> does not include </w:t>
      </w:r>
      <w:r w:rsidRPr="00530EB8">
        <w:rPr>
          <w:rStyle w:val="Hyperlink"/>
          <w:b/>
          <w:color w:val="auto"/>
          <w:u w:val="none"/>
        </w:rPr>
        <w:t>pusch-TimeDomainAllocationList</w:t>
      </w:r>
      <w:r w:rsidRPr="00406C4F">
        <w:rPr>
          <w:rStyle w:val="Hyperlink"/>
          <w:b/>
          <w:color w:val="auto"/>
          <w:u w:val="none"/>
        </w:rPr>
        <w:t xml:space="preserve">, </w:t>
      </w:r>
      <w:r>
        <w:rPr>
          <w:rStyle w:val="Hyperlink"/>
          <w:b/>
          <w:color w:val="auto"/>
          <w:u w:val="none"/>
        </w:rPr>
        <w:t>TDRA table restriction</w:t>
      </w:r>
      <w:r w:rsidRPr="00406C4F">
        <w:rPr>
          <w:rStyle w:val="Hyperlink"/>
          <w:b/>
          <w:color w:val="auto"/>
          <w:u w:val="none"/>
        </w:rPr>
        <w:t xml:space="preserve"> </w:t>
      </w:r>
      <w:r>
        <w:rPr>
          <w:rStyle w:val="Hyperlink"/>
          <w:b/>
          <w:color w:val="auto"/>
          <w:u w:val="none"/>
        </w:rPr>
        <w:t>applies</w:t>
      </w:r>
      <w:r w:rsidRPr="00406C4F">
        <w:rPr>
          <w:rStyle w:val="Hyperlink"/>
          <w:b/>
          <w:color w:val="auto"/>
          <w:u w:val="none"/>
        </w:rPr>
        <w:t xml:space="preserve"> to UE-specific PDCCH (C-RNTI, MCS-C-RNTI, and CS-RNTI) in any common search space associated with CORESET 0.</w:t>
      </w:r>
      <w:r>
        <w:rPr>
          <w:rStyle w:val="Hyperlink"/>
          <w:b/>
          <w:color w:val="auto"/>
          <w:u w:val="none"/>
        </w:rPr>
        <w:t xml:space="preserve"> </w:t>
      </w:r>
    </w:p>
    <w:p w14:paraId="4C95811B" w14:textId="77777777" w:rsidR="008C0648" w:rsidRDefault="008C0648" w:rsidP="008C0648">
      <w:pPr>
        <w:rPr>
          <w:rStyle w:val="Hyperlink"/>
          <w:b/>
          <w:color w:val="auto"/>
          <w:u w:val="none"/>
        </w:rPr>
      </w:pPr>
      <w:r>
        <w:rPr>
          <w:rStyle w:val="Hyperlink"/>
          <w:b/>
          <w:color w:val="auto"/>
          <w:u w:val="none"/>
        </w:rPr>
        <w:t xml:space="preserve">Proposal 8: </w:t>
      </w:r>
      <w:r w:rsidRPr="00E47ABE">
        <w:rPr>
          <w:rStyle w:val="Hyperlink"/>
          <w:b/>
          <w:color w:val="auto"/>
          <w:u w:val="none"/>
        </w:rPr>
        <w:t xml:space="preserve">If </w:t>
      </w:r>
      <w:r w:rsidRPr="00406C4F">
        <w:rPr>
          <w:rStyle w:val="Hyperlink"/>
          <w:b/>
          <w:color w:val="auto"/>
          <w:u w:val="none"/>
        </w:rPr>
        <w:t>pdsch-ConfigCommon include</w:t>
      </w:r>
      <w:r>
        <w:rPr>
          <w:rStyle w:val="Hyperlink"/>
          <w:b/>
          <w:color w:val="auto"/>
          <w:u w:val="none"/>
        </w:rPr>
        <w:t>s</w:t>
      </w:r>
      <w:r w:rsidRPr="00406C4F">
        <w:rPr>
          <w:rStyle w:val="Hyperlink"/>
          <w:b/>
          <w:color w:val="auto"/>
          <w:u w:val="none"/>
        </w:rPr>
        <w:t xml:space="preserve"> pdsch-TimeDomainAllocationList</w:t>
      </w:r>
      <w:r>
        <w:rPr>
          <w:rStyle w:val="Hyperlink"/>
          <w:b/>
          <w:color w:val="auto"/>
          <w:u w:val="none"/>
        </w:rPr>
        <w:t xml:space="preserve"> and the indicated minimum K0 value is within the range of the K0 values of the common TDRA table entries, TDRA table restriction applies to UE specific PDCCH </w:t>
      </w:r>
      <w:r w:rsidRPr="00406C4F">
        <w:rPr>
          <w:rStyle w:val="Hyperlink"/>
          <w:b/>
          <w:color w:val="auto"/>
          <w:u w:val="none"/>
        </w:rPr>
        <w:t>(C-RNTI, MCS-C-RNTI, and CS-RNTI) in any common search space associated with CORESET 0.</w:t>
      </w:r>
      <w:r>
        <w:rPr>
          <w:rStyle w:val="Hyperlink"/>
          <w:b/>
          <w:color w:val="auto"/>
          <w:u w:val="none"/>
        </w:rPr>
        <w:t xml:space="preserve"> This principle also applies for UL case.</w:t>
      </w:r>
    </w:p>
    <w:p w14:paraId="42B7AE77" w14:textId="6FBE993A" w:rsidR="008C0648" w:rsidRPr="00BB58A8" w:rsidRDefault="008C0648" w:rsidP="008C0648">
      <w:pPr>
        <w:rPr>
          <w:rFonts w:eastAsia="SimSun"/>
          <w:b/>
          <w:lang w:eastAsia="zh-CN"/>
        </w:rPr>
      </w:pPr>
      <w:r w:rsidRPr="00B02A3B">
        <w:rPr>
          <w:rFonts w:eastAsia="SimSun"/>
          <w:b/>
          <w:lang w:eastAsia="zh-CN"/>
        </w:rPr>
        <w:t xml:space="preserve">Proposal </w:t>
      </w:r>
      <w:r>
        <w:rPr>
          <w:rFonts w:eastAsia="SimSun"/>
          <w:b/>
          <w:lang w:eastAsia="zh-CN"/>
        </w:rPr>
        <w:t>9</w:t>
      </w:r>
      <w:r w:rsidRPr="00B02A3B">
        <w:rPr>
          <w:rFonts w:eastAsia="SimSun"/>
          <w:b/>
          <w:lang w:eastAsia="zh-CN"/>
        </w:rPr>
        <w:t xml:space="preserve">: If </w:t>
      </w:r>
      <w:r w:rsidRPr="00B02A3B">
        <w:rPr>
          <w:rStyle w:val="Hyperlink"/>
          <w:b/>
          <w:color w:val="auto"/>
          <w:u w:val="none"/>
        </w:rPr>
        <w:t xml:space="preserve">the </w:t>
      </w:r>
      <w:r w:rsidRPr="00B02A3B">
        <w:rPr>
          <w:rStyle w:val="Hyperlink"/>
          <w:b/>
          <w:color w:val="auto"/>
          <w:u w:val="none"/>
          <w:lang w:val="en-US"/>
        </w:rPr>
        <w:t xml:space="preserve">pdsch-TimeDomainAllocationList is not provided in pdsch-Config but provided in pdsch-ConfigCommon, proposal </w:t>
      </w:r>
      <w:r>
        <w:rPr>
          <w:rStyle w:val="Hyperlink"/>
          <w:b/>
          <w:color w:val="auto"/>
          <w:u w:val="none"/>
          <w:lang w:val="en-US"/>
        </w:rPr>
        <w:t>5</w:t>
      </w:r>
      <w:r w:rsidRPr="00B02A3B">
        <w:rPr>
          <w:rStyle w:val="Hyperlink"/>
          <w:b/>
          <w:color w:val="auto"/>
          <w:u w:val="none"/>
          <w:lang w:val="en-US"/>
        </w:rPr>
        <w:t xml:space="preserve"> and </w:t>
      </w:r>
      <w:r>
        <w:rPr>
          <w:rStyle w:val="Hyperlink"/>
          <w:b/>
          <w:color w:val="auto"/>
          <w:u w:val="none"/>
          <w:lang w:val="en-US"/>
        </w:rPr>
        <w:t>6</w:t>
      </w:r>
      <w:r w:rsidRPr="00B02A3B">
        <w:rPr>
          <w:rStyle w:val="Hyperlink"/>
          <w:b/>
          <w:color w:val="auto"/>
          <w:u w:val="none"/>
          <w:lang w:val="en-US"/>
        </w:rPr>
        <w:t xml:space="preserve"> would apply to all the search spaces.</w:t>
      </w:r>
    </w:p>
    <w:p w14:paraId="55B7CF10" w14:textId="77777777" w:rsidR="008C0648" w:rsidRPr="008C0648" w:rsidRDefault="008C0648" w:rsidP="008C0A8E">
      <w:pPr>
        <w:rPr>
          <w:b/>
          <w:lang w:eastAsia="ja-JP"/>
        </w:rPr>
      </w:pPr>
      <w:bookmarkStart w:id="0" w:name="_GoBack"/>
      <w:bookmarkEnd w:id="0"/>
    </w:p>
    <w:p w14:paraId="3549B4EB" w14:textId="77777777" w:rsidR="002E2FAF" w:rsidRDefault="002E2FAF" w:rsidP="000E7739">
      <w:pPr>
        <w:pStyle w:val="Heading1"/>
        <w:rPr>
          <w:rFonts w:cs="Arial"/>
        </w:rPr>
      </w:pPr>
      <w:r>
        <w:rPr>
          <w:rFonts w:cs="Arial" w:hint="eastAsia"/>
        </w:rPr>
        <w:t>References</w:t>
      </w:r>
    </w:p>
    <w:p w14:paraId="0B5530C3" w14:textId="656C1EF0" w:rsidR="004075F1" w:rsidRDefault="006051C6" w:rsidP="0058051F">
      <w:pPr>
        <w:rPr>
          <w:rFonts w:eastAsia="SimSun"/>
          <w:lang w:val="en-US" w:eastAsia="zh-CN"/>
        </w:rPr>
      </w:pPr>
      <w:r>
        <w:rPr>
          <w:rFonts w:eastAsia="SimSun"/>
          <w:lang w:val="en-US" w:eastAsia="zh-CN"/>
        </w:rPr>
        <w:t>[</w:t>
      </w:r>
      <w:r w:rsidR="00640086">
        <w:rPr>
          <w:rFonts w:eastAsia="SimSun"/>
          <w:lang w:val="en-US" w:eastAsia="zh-CN"/>
        </w:rPr>
        <w:t>1</w:t>
      </w:r>
      <w:r>
        <w:rPr>
          <w:rFonts w:eastAsia="SimSun"/>
          <w:lang w:val="en-US" w:eastAsia="zh-CN"/>
        </w:rPr>
        <w:t xml:space="preserve">] </w:t>
      </w:r>
      <w:r w:rsidR="00465686" w:rsidRPr="00465686">
        <w:rPr>
          <w:rFonts w:eastAsia="SimSun"/>
          <w:lang w:val="en-US" w:eastAsia="zh-CN"/>
        </w:rPr>
        <w:t>RAN1 Chairman’s Notes</w:t>
      </w:r>
      <w:r w:rsidR="00465686">
        <w:rPr>
          <w:rFonts w:eastAsia="SimSun"/>
          <w:lang w:val="en-US" w:eastAsia="zh-CN"/>
        </w:rPr>
        <w:t>,</w:t>
      </w:r>
      <w:r w:rsidR="00502B1D">
        <w:rPr>
          <w:rFonts w:eastAsia="SimSun"/>
          <w:lang w:val="en-US" w:eastAsia="zh-CN"/>
        </w:rPr>
        <w:t xml:space="preserve"> 3GPP TSG RAN WG1 Meeting #98bis</w:t>
      </w:r>
      <w:r w:rsidR="00465686">
        <w:rPr>
          <w:rFonts w:eastAsia="SimSun"/>
          <w:lang w:val="en-US" w:eastAsia="zh-CN"/>
        </w:rPr>
        <w:t xml:space="preserve"> </w:t>
      </w:r>
    </w:p>
    <w:p w14:paraId="665F58A3" w14:textId="72D8542E" w:rsidR="00C24683" w:rsidRDefault="00C24683" w:rsidP="00C24683">
      <w:pPr>
        <w:rPr>
          <w:rFonts w:eastAsia="SimSun"/>
          <w:lang w:val="en-US" w:eastAsia="zh-CN"/>
        </w:rPr>
      </w:pPr>
    </w:p>
    <w:p w14:paraId="70226949" w14:textId="350A803F" w:rsidR="00AC5F96" w:rsidRDefault="00C24683" w:rsidP="00C24683">
      <w:pPr>
        <w:pStyle w:val="Heading1"/>
        <w:rPr>
          <w:rFonts w:cs="Arial"/>
        </w:rPr>
      </w:pPr>
      <w:r w:rsidRPr="00C24683">
        <w:rPr>
          <w:rFonts w:cs="Arial"/>
        </w:rPr>
        <w:t>Appendix</w:t>
      </w:r>
    </w:p>
    <w:p w14:paraId="06444C04" w14:textId="77777777" w:rsidR="00147A77" w:rsidRDefault="00147A77" w:rsidP="005A63F2">
      <w:pPr>
        <w:rPr>
          <w:b/>
          <w:u w:val="single"/>
        </w:rPr>
      </w:pPr>
    </w:p>
    <w:p w14:paraId="4F33C3F6" w14:textId="1882C9BE" w:rsidR="005A63F2" w:rsidRPr="00147A77" w:rsidRDefault="00207A6C" w:rsidP="005A63F2">
      <w:pPr>
        <w:rPr>
          <w:b/>
          <w:u w:val="single"/>
        </w:rPr>
      </w:pPr>
      <w:r>
        <w:rPr>
          <w:b/>
          <w:u w:val="single"/>
        </w:rPr>
        <w:t>Agreements on RAN1#98bis</w:t>
      </w:r>
      <w:r w:rsidR="00BA5BB0" w:rsidRPr="00B02A3B">
        <w:rPr>
          <w:b/>
          <w:u w:val="single"/>
        </w:rPr>
        <w:t xml:space="preserve"> meeting:</w:t>
      </w:r>
    </w:p>
    <w:p w14:paraId="0216FA5B" w14:textId="77777777" w:rsidR="00207A6C" w:rsidRPr="00D73AC3" w:rsidRDefault="00207A6C" w:rsidP="00207A6C">
      <w:pPr>
        <w:rPr>
          <w:lang w:eastAsia="x-none"/>
        </w:rPr>
      </w:pPr>
      <w:r w:rsidRPr="00D73AC3">
        <w:rPr>
          <w:highlight w:val="green"/>
          <w:lang w:eastAsia="x-none"/>
        </w:rPr>
        <w:t>Agreements</w:t>
      </w:r>
      <w:r w:rsidRPr="00D73AC3">
        <w:rPr>
          <w:lang w:eastAsia="x-none"/>
        </w:rPr>
        <w:t>:</w:t>
      </w:r>
    </w:p>
    <w:p w14:paraId="468F2982" w14:textId="13972A3D" w:rsidR="00207A6C" w:rsidRPr="00D73AC3" w:rsidRDefault="00207A6C" w:rsidP="00207A6C">
      <w:pPr>
        <w:pStyle w:val="Caption"/>
        <w:rPr>
          <w:b w:val="0"/>
          <w:lang w:val="en-US" w:eastAsia="zh-TW"/>
        </w:rPr>
      </w:pPr>
      <w:r w:rsidRPr="00D73AC3">
        <w:rPr>
          <w:b w:val="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7D383FC2" w14:textId="77777777" w:rsidR="00207A6C" w:rsidRPr="00D73AC3" w:rsidRDefault="00207A6C" w:rsidP="00207A6C">
      <w:pPr>
        <w:pStyle w:val="ListParagraph"/>
        <w:numPr>
          <w:ilvl w:val="0"/>
          <w:numId w:val="274"/>
        </w:numPr>
        <w:spacing w:after="0"/>
        <w:contextualSpacing w:val="0"/>
      </w:pPr>
      <w:r w:rsidRPr="00D73AC3">
        <w:t>Option 2: The configured value if one value is RRC configured; The lowest-indexed RRC configured value if two values are RRC configured</w:t>
      </w:r>
    </w:p>
    <w:p w14:paraId="71F2FD05" w14:textId="77777777" w:rsidR="00207A6C" w:rsidRPr="00D73AC3" w:rsidRDefault="00207A6C" w:rsidP="00207A6C">
      <w:pPr>
        <w:rPr>
          <w:b/>
        </w:rPr>
      </w:pPr>
      <w:r w:rsidRPr="001E05A8">
        <w:t>FFS Value zero is a valid configuration for the minimum applicable K0/K2 value</w:t>
      </w:r>
      <w:r w:rsidRPr="001E05A8">
        <w:rPr>
          <w:b/>
        </w:rPr>
        <w:t xml:space="preserve"> </w:t>
      </w:r>
      <w:r w:rsidRPr="001E05A8">
        <w:rPr>
          <w:bCs/>
        </w:rPr>
        <w:t>for the case when</w:t>
      </w:r>
      <w:r w:rsidRPr="001E05A8">
        <w:rPr>
          <w:b/>
        </w:rPr>
        <w:t xml:space="preserve"> </w:t>
      </w:r>
      <w:r w:rsidRPr="001E05A8">
        <w:t>two RRC values are</w:t>
      </w:r>
      <w:r w:rsidRPr="00D73AC3">
        <w:t xml:space="preserve"> configured for the BWP</w:t>
      </w:r>
    </w:p>
    <w:p w14:paraId="11E19949" w14:textId="77777777" w:rsidR="00207A6C" w:rsidRPr="001E05A8" w:rsidRDefault="00207A6C" w:rsidP="00207A6C">
      <w:pPr>
        <w:rPr>
          <w:lang w:val="en-US" w:eastAsia="zh-TW"/>
        </w:rPr>
      </w:pPr>
      <w:r w:rsidRPr="001E05A8">
        <w:rPr>
          <w:highlight w:val="green"/>
          <w:lang w:val="en-US" w:eastAsia="zh-TW"/>
        </w:rPr>
        <w:t>Agreements</w:t>
      </w:r>
      <w:r w:rsidRPr="001E05A8">
        <w:rPr>
          <w:lang w:val="en-US" w:eastAsia="zh-TW"/>
        </w:rPr>
        <w:t>:</w:t>
      </w:r>
    </w:p>
    <w:p w14:paraId="16C251B9" w14:textId="77777777" w:rsidR="00207A6C" w:rsidRPr="001E05A8" w:rsidRDefault="00207A6C" w:rsidP="00207A6C">
      <w:pPr>
        <w:rPr>
          <w:lang w:val="en-US" w:eastAsia="zh-TW"/>
        </w:rPr>
      </w:pPr>
      <w:r w:rsidRPr="001E05A8">
        <w:t xml:space="preserve">Value zero is a valid configuration for the minimum applicable K0/K2 value </w:t>
      </w:r>
      <w:r w:rsidRPr="001E05A8">
        <w:rPr>
          <w:bCs/>
        </w:rPr>
        <w:t>for the case when</w:t>
      </w:r>
      <w:r w:rsidRPr="001E05A8">
        <w:rPr>
          <w:b/>
        </w:rPr>
        <w:t xml:space="preserve"> </w:t>
      </w:r>
      <w:r w:rsidRPr="001E05A8">
        <w:t>two RRC values are configured for the BWP</w:t>
      </w:r>
    </w:p>
    <w:p w14:paraId="37C5F5A2" w14:textId="77777777" w:rsidR="00207A6C" w:rsidRPr="001E05A8" w:rsidRDefault="00207A6C" w:rsidP="00207A6C">
      <w:pPr>
        <w:pStyle w:val="ListParagraph"/>
        <w:numPr>
          <w:ilvl w:val="0"/>
          <w:numId w:val="274"/>
        </w:numPr>
        <w:spacing w:after="0"/>
        <w:contextualSpacing w:val="0"/>
      </w:pPr>
      <w:r w:rsidRPr="001E05A8">
        <w:t>Detail RRC configuration design is up to RAN2.</w:t>
      </w:r>
    </w:p>
    <w:p w14:paraId="2866D21E" w14:textId="66E932B2" w:rsidR="004C163B" w:rsidRDefault="004C163B" w:rsidP="00C24683">
      <w:pPr>
        <w:rPr>
          <w:rFonts w:eastAsia="SimSun"/>
          <w:lang w:eastAsia="zh-CN"/>
        </w:rPr>
      </w:pPr>
    </w:p>
    <w:p w14:paraId="49DF19F1" w14:textId="77777777" w:rsidR="004C163B" w:rsidRPr="0074791C" w:rsidRDefault="004C163B" w:rsidP="004C163B">
      <w:pPr>
        <w:rPr>
          <w:lang w:val="en-US" w:eastAsia="zh-TW"/>
        </w:rPr>
      </w:pPr>
      <w:r w:rsidRPr="0074791C">
        <w:rPr>
          <w:highlight w:val="green"/>
          <w:lang w:val="en-US" w:eastAsia="zh-TW"/>
        </w:rPr>
        <w:t>Agreements</w:t>
      </w:r>
      <w:r w:rsidRPr="0074791C">
        <w:rPr>
          <w:lang w:val="en-US" w:eastAsia="zh-TW"/>
        </w:rPr>
        <w:t>:</w:t>
      </w:r>
    </w:p>
    <w:p w14:paraId="0EF301E7" w14:textId="77777777" w:rsidR="004C163B" w:rsidRPr="0074791C" w:rsidRDefault="004C163B" w:rsidP="004C163B">
      <w:pPr>
        <w:autoSpaceDE w:val="0"/>
        <w:autoSpaceDN w:val="0"/>
        <w:spacing w:before="40" w:after="40"/>
        <w:rPr>
          <w:lang w:val="en-US"/>
        </w:rPr>
      </w:pPr>
      <w:r w:rsidRPr="0074791C">
        <w:lastRenderedPageBreak/>
        <w:t xml:space="preserve">For the purpose RRC configuration design, the configured minimum applicable K0/K2 value(s) are a subset of the possible values for those of the existing K0/K2 parameters </w:t>
      </w:r>
    </w:p>
    <w:p w14:paraId="1B9CBC1C" w14:textId="77777777" w:rsidR="004C163B" w:rsidRPr="0074791C" w:rsidRDefault="004C163B" w:rsidP="004C163B">
      <w:pPr>
        <w:pStyle w:val="ListParagraph"/>
        <w:numPr>
          <w:ilvl w:val="0"/>
          <w:numId w:val="275"/>
        </w:numPr>
        <w:autoSpaceDE w:val="0"/>
        <w:autoSpaceDN w:val="0"/>
        <w:spacing w:before="40" w:after="40"/>
        <w:contextualSpacing w:val="0"/>
      </w:pPr>
      <w:r w:rsidRPr="0074791C">
        <w:t>FFS the detailed subset of values</w:t>
      </w:r>
    </w:p>
    <w:p w14:paraId="53539DF1" w14:textId="1AAF4D1A" w:rsidR="004C163B" w:rsidRDefault="004C163B" w:rsidP="00C24683">
      <w:pPr>
        <w:rPr>
          <w:rFonts w:eastAsia="SimSun"/>
          <w:lang w:eastAsia="zh-CN"/>
        </w:rPr>
      </w:pPr>
    </w:p>
    <w:p w14:paraId="3BCD7F2E" w14:textId="77777777" w:rsidR="00BA5908" w:rsidRPr="008156FA" w:rsidRDefault="00BA5908" w:rsidP="00BA5908">
      <w:pPr>
        <w:rPr>
          <w:b/>
          <w:bCs/>
          <w:lang w:val="en-US" w:eastAsia="x-none"/>
        </w:rPr>
      </w:pPr>
      <w:r w:rsidRPr="008156FA">
        <w:rPr>
          <w:highlight w:val="green"/>
          <w:lang w:val="en-US" w:eastAsia="x-none"/>
        </w:rPr>
        <w:t>Agreements</w:t>
      </w:r>
      <w:r w:rsidRPr="008156FA">
        <w:rPr>
          <w:b/>
          <w:bCs/>
          <w:lang w:val="en-US" w:eastAsia="x-none"/>
        </w:rPr>
        <w:t>:</w:t>
      </w:r>
    </w:p>
    <w:p w14:paraId="5594D676" w14:textId="77777777" w:rsidR="00BA5908" w:rsidRPr="008156FA" w:rsidRDefault="00BA5908" w:rsidP="00BA5908">
      <w:pPr>
        <w:autoSpaceDE w:val="0"/>
        <w:autoSpaceDN w:val="0"/>
        <w:spacing w:before="40" w:after="40"/>
        <w:rPr>
          <w:bCs/>
        </w:rPr>
      </w:pPr>
      <w:r w:rsidRPr="008156FA">
        <w:rPr>
          <w:bCs/>
        </w:rPr>
        <w:t>UE higher layer signalling (detailed mechanisms up to RAN2) of suggested minimum applicable values for K0/K2 (one for each) for applying cross-slot scheduling is supported:</w:t>
      </w:r>
    </w:p>
    <w:p w14:paraId="49F44309" w14:textId="77777777" w:rsidR="00BA5908" w:rsidRPr="008156FA" w:rsidRDefault="00BA5908" w:rsidP="00BA5908">
      <w:pPr>
        <w:pStyle w:val="ListParagraph"/>
        <w:numPr>
          <w:ilvl w:val="0"/>
          <w:numId w:val="275"/>
        </w:numPr>
        <w:autoSpaceDE w:val="0"/>
        <w:autoSpaceDN w:val="0"/>
        <w:spacing w:before="40" w:after="40"/>
        <w:contextualSpacing w:val="0"/>
        <w:rPr>
          <w:bCs/>
        </w:rPr>
      </w:pPr>
      <w:r w:rsidRPr="008156FA">
        <w:rPr>
          <w:bCs/>
        </w:rPr>
        <w:t>For each of the all possible SCSs, the values are reported separately</w:t>
      </w:r>
    </w:p>
    <w:p w14:paraId="3ABC85C3" w14:textId="77777777" w:rsidR="00BA5908" w:rsidRPr="008156FA" w:rsidRDefault="00BA5908" w:rsidP="00BA5908">
      <w:pPr>
        <w:pStyle w:val="ListParagraph"/>
        <w:numPr>
          <w:ilvl w:val="0"/>
          <w:numId w:val="275"/>
        </w:numPr>
        <w:autoSpaceDE w:val="0"/>
        <w:autoSpaceDN w:val="0"/>
        <w:spacing w:before="40" w:after="40"/>
        <w:contextualSpacing w:val="0"/>
        <w:rPr>
          <w:bCs/>
        </w:rPr>
      </w:pPr>
      <w:r w:rsidRPr="008156FA">
        <w:rPr>
          <w:bCs/>
        </w:rPr>
        <w:t xml:space="preserve">For same-carrier scheduling, each suggested value is in the range from 1 to </w:t>
      </w:r>
    </w:p>
    <w:p w14:paraId="6D646D58" w14:textId="77777777" w:rsidR="00BA5908" w:rsidRPr="008156FA" w:rsidRDefault="00BA5908" w:rsidP="00BA5908">
      <w:pPr>
        <w:pStyle w:val="ListParagraph"/>
        <w:numPr>
          <w:ilvl w:val="1"/>
          <w:numId w:val="275"/>
        </w:numPr>
        <w:autoSpaceDE w:val="0"/>
        <w:autoSpaceDN w:val="0"/>
        <w:spacing w:before="40" w:after="40"/>
        <w:contextualSpacing w:val="0"/>
        <w:rPr>
          <w:bCs/>
        </w:rPr>
      </w:pPr>
      <w:r w:rsidRPr="008156FA">
        <w:rPr>
          <w:bCs/>
        </w:rPr>
        <w:t>15kHz/30kHz SCS: [2-4] slots</w:t>
      </w:r>
    </w:p>
    <w:p w14:paraId="40C3AB33" w14:textId="77777777" w:rsidR="00BA5908" w:rsidRPr="008156FA" w:rsidRDefault="00BA5908" w:rsidP="00BA5908">
      <w:pPr>
        <w:pStyle w:val="ListParagraph"/>
        <w:numPr>
          <w:ilvl w:val="1"/>
          <w:numId w:val="275"/>
        </w:numPr>
        <w:autoSpaceDE w:val="0"/>
        <w:autoSpaceDN w:val="0"/>
        <w:spacing w:before="40" w:after="40"/>
        <w:contextualSpacing w:val="0"/>
        <w:rPr>
          <w:bCs/>
        </w:rPr>
      </w:pPr>
      <w:r w:rsidRPr="008156FA">
        <w:rPr>
          <w:bCs/>
        </w:rPr>
        <w:t xml:space="preserve">60kHz/120kHz SCS: [4-8] slots </w:t>
      </w:r>
    </w:p>
    <w:p w14:paraId="2D8BA277" w14:textId="77777777" w:rsidR="00BA5908" w:rsidRDefault="00BA5908" w:rsidP="00BA5908">
      <w:pPr>
        <w:pStyle w:val="ListParagraph"/>
        <w:numPr>
          <w:ilvl w:val="0"/>
          <w:numId w:val="275"/>
        </w:numPr>
        <w:autoSpaceDE w:val="0"/>
        <w:autoSpaceDN w:val="0"/>
        <w:spacing w:before="40" w:after="40"/>
        <w:contextualSpacing w:val="0"/>
        <w:rPr>
          <w:bCs/>
        </w:rPr>
      </w:pPr>
      <w:r w:rsidRPr="008156FA">
        <w:rPr>
          <w:bCs/>
        </w:rPr>
        <w:t>FFS how to apply the values to the cross-carrier scheduling case in terms of minimum applicable value</w:t>
      </w:r>
    </w:p>
    <w:p w14:paraId="522DA2DB" w14:textId="7F4B6918" w:rsidR="00F4599F" w:rsidRDefault="00F4599F" w:rsidP="00C24683">
      <w:pPr>
        <w:rPr>
          <w:rFonts w:eastAsia="SimSun"/>
          <w:b/>
          <w:lang w:eastAsia="zh-CN"/>
        </w:rPr>
      </w:pPr>
    </w:p>
    <w:p w14:paraId="5AA1CE01" w14:textId="77777777" w:rsidR="00F4599F" w:rsidRPr="00D277B5" w:rsidRDefault="00F4599F" w:rsidP="00F4599F">
      <w:pPr>
        <w:rPr>
          <w:lang w:eastAsia="x-none"/>
        </w:rPr>
      </w:pPr>
      <w:r w:rsidRPr="00D277B5">
        <w:rPr>
          <w:highlight w:val="green"/>
          <w:lang w:eastAsia="x-none"/>
        </w:rPr>
        <w:t>Agreements</w:t>
      </w:r>
      <w:r w:rsidRPr="00D277B5">
        <w:rPr>
          <w:lang w:eastAsia="x-none"/>
        </w:rPr>
        <w:t>:</w:t>
      </w:r>
    </w:p>
    <w:p w14:paraId="0C68D36F" w14:textId="77777777" w:rsidR="00F4599F" w:rsidRPr="00D277B5" w:rsidRDefault="00F4599F" w:rsidP="00F4599F">
      <w:pPr>
        <w:autoSpaceDE w:val="0"/>
        <w:autoSpaceDN w:val="0"/>
        <w:spacing w:before="40" w:after="40"/>
      </w:pPr>
      <w:r w:rsidRPr="00D277B5">
        <w:t>For the RRC configuration, the configured minimum applicable K0/K2 value(s) take integer value(s) in the range from 0 to [16]</w:t>
      </w:r>
    </w:p>
    <w:p w14:paraId="0B0BB169" w14:textId="1AF0E8BA" w:rsidR="00BA5908" w:rsidRDefault="00BA5908" w:rsidP="00F4599F">
      <w:pPr>
        <w:rPr>
          <w:rFonts w:eastAsia="SimSun"/>
          <w:lang w:eastAsia="zh-CN"/>
        </w:rPr>
      </w:pPr>
    </w:p>
    <w:p w14:paraId="1B8D3032" w14:textId="77777777" w:rsidR="00C162E4" w:rsidRPr="005D1DCD" w:rsidRDefault="00C162E4" w:rsidP="00C162E4">
      <w:pPr>
        <w:rPr>
          <w:rFonts w:ascii="Arial" w:hAnsi="Arial" w:cs="Arial"/>
          <w:lang w:eastAsia="x-none"/>
        </w:rPr>
      </w:pPr>
      <w:r w:rsidRPr="005D1DCD">
        <w:rPr>
          <w:rFonts w:ascii="Arial" w:hAnsi="Arial" w:cs="Arial"/>
          <w:highlight w:val="green"/>
          <w:lang w:eastAsia="x-none"/>
        </w:rPr>
        <w:t>Agreements</w:t>
      </w:r>
      <w:r w:rsidRPr="005D1DCD">
        <w:rPr>
          <w:rFonts w:ascii="Arial" w:hAnsi="Arial" w:cs="Arial"/>
          <w:lang w:eastAsia="x-none"/>
        </w:rPr>
        <w:t>:</w:t>
      </w:r>
    </w:p>
    <w:p w14:paraId="127EA2EB" w14:textId="77777777" w:rsidR="00C162E4" w:rsidRPr="005D1DCD" w:rsidRDefault="00C162E4" w:rsidP="00C162E4">
      <w:pPr>
        <w:pStyle w:val="NormalWeb"/>
        <w:numPr>
          <w:ilvl w:val="0"/>
          <w:numId w:val="276"/>
        </w:numPr>
        <w:spacing w:before="0" w:beforeAutospacing="0" w:after="0" w:afterAutospacing="0"/>
        <w:rPr>
          <w:color w:val="auto"/>
          <w:sz w:val="20"/>
          <w:szCs w:val="20"/>
        </w:rPr>
      </w:pPr>
      <w:r w:rsidRPr="005D1DCD">
        <w:rPr>
          <w:color w:val="auto"/>
          <w:sz w:val="20"/>
          <w:szCs w:val="20"/>
        </w:rPr>
        <w:t>With application delay, X, for adaptation to the indicated minimum applicable K0/K2 value(s) for a scheduled cell triggered by the 1-bit indication of a DCI format 1-1 or 0-1 with in the scheduling cell,</w:t>
      </w:r>
    </w:p>
    <w:p w14:paraId="1F3CC00E" w14:textId="77777777" w:rsidR="00C162E4" w:rsidRPr="005D1DCD" w:rsidRDefault="00C162E4" w:rsidP="00C162E4">
      <w:pPr>
        <w:pStyle w:val="NormalWeb"/>
        <w:numPr>
          <w:ilvl w:val="1"/>
          <w:numId w:val="276"/>
        </w:numPr>
        <w:spacing w:before="0" w:beforeAutospacing="0" w:after="0" w:afterAutospacing="0"/>
        <w:rPr>
          <w:color w:val="auto"/>
          <w:sz w:val="20"/>
          <w:szCs w:val="20"/>
        </w:rPr>
      </w:pPr>
      <w:r w:rsidRPr="005D1DCD">
        <w:rPr>
          <w:color w:val="auto"/>
          <w:sz w:val="20"/>
          <w:szCs w:val="20"/>
        </w:rPr>
        <w:t>UE receives DCI of the change indication in slot n of the scheduling cell</w:t>
      </w:r>
    </w:p>
    <w:p w14:paraId="78A092C7" w14:textId="77777777" w:rsidR="00C162E4" w:rsidRPr="005D1DCD" w:rsidRDefault="00C162E4" w:rsidP="00C162E4">
      <w:pPr>
        <w:pStyle w:val="NormalWeb"/>
        <w:numPr>
          <w:ilvl w:val="1"/>
          <w:numId w:val="276"/>
        </w:numPr>
        <w:spacing w:before="0" w:beforeAutospacing="0" w:after="0" w:afterAutospacing="0"/>
        <w:rPr>
          <w:color w:val="auto"/>
          <w:sz w:val="20"/>
          <w:szCs w:val="20"/>
        </w:rPr>
      </w:pPr>
      <w:r w:rsidRPr="005D1DCD">
        <w:rPr>
          <w:color w:val="auto"/>
          <w:sz w:val="20"/>
          <w:szCs w:val="20"/>
        </w:rPr>
        <w:t>UE can be scheduled with the indicated minimum applicable K0/K2 value(s) for PDSCH/PUSCH on the scheduled cell in a DCI in slot (n + X) of the scheduling cell</w:t>
      </w:r>
    </w:p>
    <w:p w14:paraId="432BD740" w14:textId="77777777" w:rsidR="00C162E4" w:rsidRPr="005D1DCD" w:rsidRDefault="00C162E4" w:rsidP="00C162E4">
      <w:pPr>
        <w:pStyle w:val="NormalWeb"/>
        <w:numPr>
          <w:ilvl w:val="0"/>
          <w:numId w:val="276"/>
        </w:numPr>
        <w:spacing w:before="0" w:beforeAutospacing="0" w:after="0" w:afterAutospacing="0"/>
        <w:rPr>
          <w:color w:val="auto"/>
          <w:sz w:val="20"/>
          <w:szCs w:val="20"/>
        </w:rPr>
      </w:pPr>
      <w:r w:rsidRPr="005D1DCD">
        <w:rPr>
          <w:color w:val="auto"/>
          <w:sz w:val="20"/>
          <w:szCs w:val="20"/>
        </w:rPr>
        <w:t>For same-carrier scheduling and at least for PDCCH monitoring case 1-1,</w:t>
      </w:r>
    </w:p>
    <w:p w14:paraId="03ED8EF1" w14:textId="77777777" w:rsidR="00C162E4" w:rsidRPr="005D1DCD" w:rsidRDefault="00C162E4" w:rsidP="00C162E4">
      <w:pPr>
        <w:pStyle w:val="NormalWeb"/>
        <w:numPr>
          <w:ilvl w:val="1"/>
          <w:numId w:val="276"/>
        </w:numPr>
        <w:spacing w:before="0" w:beforeAutospacing="0" w:after="0" w:afterAutospacing="0"/>
        <w:rPr>
          <w:color w:val="auto"/>
          <w:sz w:val="20"/>
          <w:szCs w:val="20"/>
        </w:rPr>
      </w:pPr>
      <w:r w:rsidRPr="005D1DCD">
        <w:rPr>
          <w:color w:val="auto"/>
          <w:sz w:val="20"/>
          <w:szCs w:val="20"/>
        </w:rPr>
        <w:t>X = max(Y, Z)</w:t>
      </w:r>
    </w:p>
    <w:p w14:paraId="4B915B1D" w14:textId="77777777" w:rsidR="00C162E4" w:rsidRPr="005D1DCD" w:rsidRDefault="00C162E4" w:rsidP="00C162E4">
      <w:pPr>
        <w:numPr>
          <w:ilvl w:val="1"/>
          <w:numId w:val="276"/>
        </w:numPr>
        <w:spacing w:after="0"/>
        <w:textAlignment w:val="center"/>
        <w:rPr>
          <w:rFonts w:ascii="Arial" w:hAnsi="Arial" w:cs="Arial"/>
          <w:lang w:eastAsia="zh-CN"/>
        </w:rPr>
      </w:pPr>
      <w:r w:rsidRPr="005D1DCD">
        <w:rPr>
          <w:rFonts w:ascii="Arial" w:hAnsi="Arial" w:cs="Arial"/>
          <w:lang w:eastAsia="zh-CN"/>
        </w:rPr>
        <w:t>Y is the active minimum applicable</w:t>
      </w:r>
      <w:r w:rsidRPr="005D1DCD">
        <w:rPr>
          <w:rFonts w:ascii="Arial" w:hAnsi="Arial" w:cs="Arial"/>
        </w:rPr>
        <w:t xml:space="preserve"> K0 value of the active DL BWP prior to the change indication</w:t>
      </w:r>
    </w:p>
    <w:p w14:paraId="22613DC8" w14:textId="77777777" w:rsidR="00C162E4" w:rsidRPr="005D1DCD" w:rsidRDefault="00C162E4" w:rsidP="00C162E4">
      <w:pPr>
        <w:numPr>
          <w:ilvl w:val="1"/>
          <w:numId w:val="276"/>
        </w:numPr>
        <w:spacing w:after="0"/>
        <w:textAlignment w:val="center"/>
        <w:rPr>
          <w:rFonts w:ascii="Arial" w:hAnsi="Arial" w:cs="Arial"/>
        </w:rPr>
      </w:pPr>
      <w:r w:rsidRPr="005D1DCD">
        <w:rPr>
          <w:rFonts w:ascii="Arial" w:hAnsi="Arial" w:cs="Arial"/>
        </w:rPr>
        <w:t>Z is ([1], [1], [2], [2]) for DL SCS of (15, 30, 60, 120) KHz, respectively</w:t>
      </w:r>
    </w:p>
    <w:p w14:paraId="078BD7C2" w14:textId="77777777" w:rsidR="00C162E4" w:rsidRPr="005D1DCD" w:rsidRDefault="00C162E4" w:rsidP="00C162E4">
      <w:pPr>
        <w:pStyle w:val="NormalWeb"/>
        <w:numPr>
          <w:ilvl w:val="0"/>
          <w:numId w:val="276"/>
        </w:numPr>
        <w:spacing w:before="0" w:beforeAutospacing="0" w:after="0" w:afterAutospacing="0"/>
        <w:rPr>
          <w:color w:val="auto"/>
          <w:sz w:val="20"/>
          <w:szCs w:val="20"/>
        </w:rPr>
      </w:pPr>
      <w:r w:rsidRPr="005D1DCD">
        <w:rPr>
          <w:color w:val="auto"/>
          <w:sz w:val="20"/>
          <w:szCs w:val="20"/>
        </w:rPr>
        <w:t xml:space="preserve">FFS: Cross-carrier scheduling </w:t>
      </w:r>
    </w:p>
    <w:p w14:paraId="1AE0E680" w14:textId="77777777" w:rsidR="00C162E4" w:rsidRPr="005D1DCD" w:rsidRDefault="00C162E4" w:rsidP="00C162E4">
      <w:pPr>
        <w:pStyle w:val="NormalWeb"/>
        <w:numPr>
          <w:ilvl w:val="0"/>
          <w:numId w:val="276"/>
        </w:numPr>
        <w:spacing w:before="0" w:beforeAutospacing="0" w:after="0" w:afterAutospacing="0"/>
        <w:rPr>
          <w:color w:val="auto"/>
          <w:sz w:val="20"/>
          <w:szCs w:val="20"/>
        </w:rPr>
      </w:pPr>
      <w:r w:rsidRPr="005D1DCD">
        <w:rPr>
          <w:color w:val="auto"/>
          <w:sz w:val="20"/>
          <w:szCs w:val="20"/>
        </w:rPr>
        <w:t>FFS: PDCCH monitoring case 1-2 and case 2</w:t>
      </w:r>
    </w:p>
    <w:p w14:paraId="40F778BE" w14:textId="77777777" w:rsidR="00C162E4" w:rsidRPr="005D1DCD" w:rsidRDefault="00C162E4" w:rsidP="00C162E4">
      <w:pPr>
        <w:pStyle w:val="NormalWeb"/>
        <w:numPr>
          <w:ilvl w:val="0"/>
          <w:numId w:val="276"/>
        </w:numPr>
        <w:spacing w:before="0" w:beforeAutospacing="0" w:after="0" w:afterAutospacing="0"/>
        <w:rPr>
          <w:color w:val="auto"/>
          <w:sz w:val="20"/>
          <w:szCs w:val="20"/>
        </w:rPr>
      </w:pPr>
      <w:r w:rsidRPr="005D1DCD">
        <w:rPr>
          <w:color w:val="auto"/>
          <w:sz w:val="20"/>
          <w:szCs w:val="20"/>
        </w:rPr>
        <w:t>FFS: Whether and how to add a delay for adaptation from same-slot scheduling to cross-slot scheduling before potential data retransmission(s) is finished</w:t>
      </w:r>
    </w:p>
    <w:p w14:paraId="70DFEC5C" w14:textId="77777777" w:rsidR="00C162E4" w:rsidRPr="005D1DCD" w:rsidRDefault="00C162E4" w:rsidP="00C162E4">
      <w:pPr>
        <w:pStyle w:val="NormalWeb"/>
        <w:numPr>
          <w:ilvl w:val="0"/>
          <w:numId w:val="276"/>
        </w:numPr>
        <w:spacing w:before="0" w:beforeAutospacing="0" w:after="0" w:afterAutospacing="0"/>
        <w:rPr>
          <w:color w:val="auto"/>
          <w:sz w:val="20"/>
          <w:szCs w:val="20"/>
        </w:rPr>
      </w:pPr>
      <w:r w:rsidRPr="005D1DCD">
        <w:rPr>
          <w:color w:val="auto"/>
          <w:sz w:val="20"/>
          <w:szCs w:val="20"/>
        </w:rPr>
        <w:t>FFS whether or not/how to define the upper bound for the application delay</w:t>
      </w:r>
    </w:p>
    <w:p w14:paraId="597B6F5F" w14:textId="77777777" w:rsidR="00C162E4" w:rsidRPr="005D1DCD" w:rsidRDefault="00C162E4" w:rsidP="00C162E4">
      <w:pPr>
        <w:pStyle w:val="NormalWeb"/>
        <w:numPr>
          <w:ilvl w:val="0"/>
          <w:numId w:val="276"/>
        </w:numPr>
        <w:spacing w:before="0" w:beforeAutospacing="0" w:after="0" w:afterAutospacing="0"/>
        <w:rPr>
          <w:color w:val="auto"/>
          <w:sz w:val="20"/>
          <w:szCs w:val="20"/>
        </w:rPr>
      </w:pPr>
      <w:r w:rsidRPr="005D1DCD">
        <w:rPr>
          <w:color w:val="auto"/>
          <w:sz w:val="20"/>
          <w:szCs w:val="20"/>
        </w:rPr>
        <w:t>FFS whether/how to define UE behavior in case of miss detection</w:t>
      </w:r>
    </w:p>
    <w:p w14:paraId="271CEBC2" w14:textId="77777777" w:rsidR="00C162E4" w:rsidRPr="00C162E4" w:rsidRDefault="00C162E4" w:rsidP="00F4599F">
      <w:pPr>
        <w:rPr>
          <w:rFonts w:eastAsia="SimSun"/>
          <w:lang w:val="en-US" w:eastAsia="zh-CN"/>
        </w:rPr>
      </w:pPr>
    </w:p>
    <w:sectPr w:rsidR="00C162E4" w:rsidRPr="00C162E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541E2" w16cid:durableId="213F3D1C"/>
  <w16cid:commentId w16cid:paraId="3F972FE1" w16cid:durableId="213F405C"/>
  <w16cid:commentId w16cid:paraId="090359E0" w16cid:durableId="213F40A4"/>
  <w16cid:commentId w16cid:paraId="47727E2C" w16cid:durableId="213F3C1A"/>
  <w16cid:commentId w16cid:paraId="12C4F7F0" w16cid:durableId="213F3C1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D20CD" w14:textId="77777777" w:rsidR="00AA3091" w:rsidRDefault="00AA3091">
      <w:r>
        <w:separator/>
      </w:r>
    </w:p>
  </w:endnote>
  <w:endnote w:type="continuationSeparator" w:id="0">
    <w:p w14:paraId="1A53C1D9" w14:textId="77777777" w:rsidR="00AA3091" w:rsidRDefault="00AA3091">
      <w:r>
        <w:continuationSeparator/>
      </w:r>
    </w:p>
  </w:endnote>
  <w:endnote w:type="continuationNotice" w:id="1">
    <w:p w14:paraId="30F30AED" w14:textId="77777777" w:rsidR="00AA3091" w:rsidRDefault="00AA3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C63E1A" w:rsidRDefault="00C63E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84AA1" w14:textId="77777777" w:rsidR="00AA3091" w:rsidRDefault="00AA3091">
      <w:r>
        <w:separator/>
      </w:r>
    </w:p>
  </w:footnote>
  <w:footnote w:type="continuationSeparator" w:id="0">
    <w:p w14:paraId="6F2FC961" w14:textId="77777777" w:rsidR="00AA3091" w:rsidRDefault="00AA3091">
      <w:r>
        <w:continuationSeparator/>
      </w:r>
    </w:p>
  </w:footnote>
  <w:footnote w:type="continuationNotice" w:id="1">
    <w:p w14:paraId="1219DC5C" w14:textId="77777777" w:rsidR="00AA3091" w:rsidRDefault="00AA30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AB694" w14:textId="77777777" w:rsidR="00552320" w:rsidRDefault="0055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12E686E"/>
    <w:multiLevelType w:val="hybridMultilevel"/>
    <w:tmpl w:val="D138C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431E89"/>
    <w:multiLevelType w:val="hybridMultilevel"/>
    <w:tmpl w:val="E1CCF572"/>
    <w:lvl w:ilvl="0" w:tplc="70BEAD2C">
      <w:start w:val="1"/>
      <w:numFmt w:val="bullet"/>
      <w:lvlText w:val="•"/>
      <w:lvlJc w:val="left"/>
      <w:pPr>
        <w:ind w:left="620" w:hanging="420"/>
      </w:pPr>
      <w:rPr>
        <w:rFonts w:ascii="Arial" w:hAnsi="Arial" w:cs="Times New Roman" w:hint="default"/>
      </w:rPr>
    </w:lvl>
    <w:lvl w:ilvl="1" w:tplc="FAD2FD18">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0145613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11" w15:restartNumberingAfterBreak="0">
    <w:nsid w:val="01E54A92"/>
    <w:multiLevelType w:val="hybridMultilevel"/>
    <w:tmpl w:val="055CF2C8"/>
    <w:lvl w:ilvl="0" w:tplc="FF866B0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21412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8DC0520"/>
    <w:multiLevelType w:val="hybridMultilevel"/>
    <w:tmpl w:val="BC72EF1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9780019"/>
    <w:multiLevelType w:val="hybridMultilevel"/>
    <w:tmpl w:val="CDC6A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09C465DE"/>
    <w:multiLevelType w:val="hybridMultilevel"/>
    <w:tmpl w:val="8110C566"/>
    <w:lvl w:ilvl="0" w:tplc="04090001">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0" w15:restartNumberingAfterBreak="0">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4D72BD9"/>
    <w:multiLevelType w:val="hybridMultilevel"/>
    <w:tmpl w:val="A648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65A2D8E"/>
    <w:multiLevelType w:val="hybridMultilevel"/>
    <w:tmpl w:val="A880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179B5CBB"/>
    <w:multiLevelType w:val="hybridMultilevel"/>
    <w:tmpl w:val="566CF3A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9AC0E0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B165BF4"/>
    <w:multiLevelType w:val="hybridMultilevel"/>
    <w:tmpl w:val="F4388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3CA3D57"/>
    <w:multiLevelType w:val="hybridMultilevel"/>
    <w:tmpl w:val="09EE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81"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3"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95"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97" w15:restartNumberingAfterBreak="0">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0F316B"/>
    <w:multiLevelType w:val="hybridMultilevel"/>
    <w:tmpl w:val="412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5A4AE6"/>
    <w:multiLevelType w:val="hybridMultilevel"/>
    <w:tmpl w:val="1D163D38"/>
    <w:lvl w:ilvl="0" w:tplc="06AC6352">
      <w:start w:val="1"/>
      <w:numFmt w:val="bullet"/>
      <w:lvlText w:val="•"/>
      <w:lvlJc w:val="left"/>
      <w:pPr>
        <w:tabs>
          <w:tab w:val="num" w:pos="720"/>
        </w:tabs>
        <w:ind w:left="720" w:hanging="360"/>
      </w:pPr>
      <w:rPr>
        <w:rFonts w:ascii="Arial" w:hAnsi="Arial" w:hint="default"/>
      </w:rPr>
    </w:lvl>
    <w:lvl w:ilvl="1" w:tplc="BBB0E5DC" w:tentative="1">
      <w:start w:val="1"/>
      <w:numFmt w:val="bullet"/>
      <w:lvlText w:val="•"/>
      <w:lvlJc w:val="left"/>
      <w:pPr>
        <w:tabs>
          <w:tab w:val="num" w:pos="1440"/>
        </w:tabs>
        <w:ind w:left="1440" w:hanging="360"/>
      </w:pPr>
      <w:rPr>
        <w:rFonts w:ascii="Arial" w:hAnsi="Arial" w:hint="default"/>
      </w:rPr>
    </w:lvl>
    <w:lvl w:ilvl="2" w:tplc="EAA43242" w:tentative="1">
      <w:start w:val="1"/>
      <w:numFmt w:val="bullet"/>
      <w:lvlText w:val="•"/>
      <w:lvlJc w:val="left"/>
      <w:pPr>
        <w:tabs>
          <w:tab w:val="num" w:pos="2160"/>
        </w:tabs>
        <w:ind w:left="2160" w:hanging="360"/>
      </w:pPr>
      <w:rPr>
        <w:rFonts w:ascii="Arial" w:hAnsi="Arial" w:hint="default"/>
      </w:rPr>
    </w:lvl>
    <w:lvl w:ilvl="3" w:tplc="5A943F2C" w:tentative="1">
      <w:start w:val="1"/>
      <w:numFmt w:val="bullet"/>
      <w:lvlText w:val="•"/>
      <w:lvlJc w:val="left"/>
      <w:pPr>
        <w:tabs>
          <w:tab w:val="num" w:pos="2880"/>
        </w:tabs>
        <w:ind w:left="2880" w:hanging="360"/>
      </w:pPr>
      <w:rPr>
        <w:rFonts w:ascii="Arial" w:hAnsi="Arial" w:hint="default"/>
      </w:rPr>
    </w:lvl>
    <w:lvl w:ilvl="4" w:tplc="02F49870" w:tentative="1">
      <w:start w:val="1"/>
      <w:numFmt w:val="bullet"/>
      <w:lvlText w:val="•"/>
      <w:lvlJc w:val="left"/>
      <w:pPr>
        <w:tabs>
          <w:tab w:val="num" w:pos="3600"/>
        </w:tabs>
        <w:ind w:left="3600" w:hanging="360"/>
      </w:pPr>
      <w:rPr>
        <w:rFonts w:ascii="Arial" w:hAnsi="Arial" w:hint="default"/>
      </w:rPr>
    </w:lvl>
    <w:lvl w:ilvl="5" w:tplc="A04280C4" w:tentative="1">
      <w:start w:val="1"/>
      <w:numFmt w:val="bullet"/>
      <w:lvlText w:val="•"/>
      <w:lvlJc w:val="left"/>
      <w:pPr>
        <w:tabs>
          <w:tab w:val="num" w:pos="4320"/>
        </w:tabs>
        <w:ind w:left="4320" w:hanging="360"/>
      </w:pPr>
      <w:rPr>
        <w:rFonts w:ascii="Arial" w:hAnsi="Arial" w:hint="default"/>
      </w:rPr>
    </w:lvl>
    <w:lvl w:ilvl="6" w:tplc="58DE9BF8" w:tentative="1">
      <w:start w:val="1"/>
      <w:numFmt w:val="bullet"/>
      <w:lvlText w:val="•"/>
      <w:lvlJc w:val="left"/>
      <w:pPr>
        <w:tabs>
          <w:tab w:val="num" w:pos="5040"/>
        </w:tabs>
        <w:ind w:left="5040" w:hanging="360"/>
      </w:pPr>
      <w:rPr>
        <w:rFonts w:ascii="Arial" w:hAnsi="Arial" w:hint="default"/>
      </w:rPr>
    </w:lvl>
    <w:lvl w:ilvl="7" w:tplc="07A802F8" w:tentative="1">
      <w:start w:val="1"/>
      <w:numFmt w:val="bullet"/>
      <w:lvlText w:val="•"/>
      <w:lvlJc w:val="left"/>
      <w:pPr>
        <w:tabs>
          <w:tab w:val="num" w:pos="5760"/>
        </w:tabs>
        <w:ind w:left="5760" w:hanging="360"/>
      </w:pPr>
      <w:rPr>
        <w:rFonts w:ascii="Arial" w:hAnsi="Arial" w:hint="default"/>
      </w:rPr>
    </w:lvl>
    <w:lvl w:ilvl="8" w:tplc="33104EF0"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8" w15:restartNumberingAfterBreak="0">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2" w15:restartNumberingAfterBreak="0">
    <w:nsid w:val="33E4677B"/>
    <w:multiLevelType w:val="hybridMultilevel"/>
    <w:tmpl w:val="5B1489B8"/>
    <w:lvl w:ilvl="0" w:tplc="12FCC988">
      <w:start w:val="1"/>
      <w:numFmt w:val="bullet"/>
      <w:lvlText w:val=""/>
      <w:lvlJc w:val="left"/>
      <w:pPr>
        <w:ind w:left="996" w:hanging="420"/>
      </w:pPr>
      <w:rPr>
        <w:rFonts w:ascii="Wingdings" w:hAnsi="Wingding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13"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0"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4F7BC4"/>
    <w:multiLevelType w:val="hybridMultilevel"/>
    <w:tmpl w:val="0FD4870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5"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AC55EA1"/>
    <w:multiLevelType w:val="hybridMultilevel"/>
    <w:tmpl w:val="0F5A413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D9130E5"/>
    <w:multiLevelType w:val="hybridMultilevel"/>
    <w:tmpl w:val="FCFA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37" w15:restartNumberingAfterBreak="0">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3"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5" w15:restartNumberingAfterBreak="0">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3EA2909"/>
    <w:multiLevelType w:val="hybridMultilevel"/>
    <w:tmpl w:val="E04A002E"/>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2" w15:restartNumberingAfterBreak="0">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4" w15:restartNumberingAfterBreak="0">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46847F73"/>
    <w:multiLevelType w:val="hybridMultilevel"/>
    <w:tmpl w:val="4F444746"/>
    <w:lvl w:ilvl="0" w:tplc="DF044B64">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8"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DD0CB4"/>
    <w:multiLevelType w:val="hybridMultilevel"/>
    <w:tmpl w:val="1C3EF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49FC06F2"/>
    <w:multiLevelType w:val="hybridMultilevel"/>
    <w:tmpl w:val="65F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4"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AF37E8A"/>
    <w:multiLevelType w:val="hybridMultilevel"/>
    <w:tmpl w:val="7A9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8" w15:restartNumberingAfterBreak="0">
    <w:nsid w:val="4CD84AE2"/>
    <w:multiLevelType w:val="hybridMultilevel"/>
    <w:tmpl w:val="EE26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1"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6"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9"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2"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56A09EF"/>
    <w:multiLevelType w:val="hybridMultilevel"/>
    <w:tmpl w:val="21CE4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5E17258"/>
    <w:multiLevelType w:val="hybridMultilevel"/>
    <w:tmpl w:val="D92AA4EA"/>
    <w:lvl w:ilvl="0" w:tplc="60AE8B56">
      <w:start w:val="1"/>
      <w:numFmt w:val="bullet"/>
      <w:lvlText w:val="•"/>
      <w:lvlJc w:val="left"/>
      <w:pPr>
        <w:ind w:left="2400" w:hanging="400"/>
      </w:pPr>
      <w:rPr>
        <w:rFonts w:ascii="Arial" w:hAnsi="Arial" w:cs="Times New Roman" w:hint="default"/>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85"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586D0C20"/>
    <w:multiLevelType w:val="hybridMultilevel"/>
    <w:tmpl w:val="91FE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8934688"/>
    <w:multiLevelType w:val="hybridMultilevel"/>
    <w:tmpl w:val="3600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A3D0C84"/>
    <w:multiLevelType w:val="hybridMultilevel"/>
    <w:tmpl w:val="A67215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5A97128F"/>
    <w:multiLevelType w:val="hybridMultilevel"/>
    <w:tmpl w:val="4A46E4C2"/>
    <w:lvl w:ilvl="0" w:tplc="7204948C">
      <w:start w:val="4"/>
      <w:numFmt w:val="bullet"/>
      <w:lvlText w:val="•"/>
      <w:lvlJc w:val="left"/>
      <w:pPr>
        <w:ind w:left="936" w:hanging="360"/>
      </w:pPr>
      <w:rPr>
        <w:rFonts w:ascii="Batang" w:eastAsia="Batang" w:hAnsi="Batang" w:cs="Times New Roman" w:hint="eastAsia"/>
        <w:b w:val="0"/>
        <w:i w:val="0"/>
        <w:color w:val="auto"/>
        <w:sz w:val="20"/>
        <w:u w:val="none"/>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1" w15:restartNumberingAfterBreak="0">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BBF01EF"/>
    <w:multiLevelType w:val="hybridMultilevel"/>
    <w:tmpl w:val="AA66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5E605CC9"/>
    <w:multiLevelType w:val="hybridMultilevel"/>
    <w:tmpl w:val="C020F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3"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5" w15:restartNumberingAfterBreak="0">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6" w15:restartNumberingAfterBreak="0">
    <w:nsid w:val="6096285C"/>
    <w:multiLevelType w:val="hybridMultilevel"/>
    <w:tmpl w:val="152A5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1"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2"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3" w15:restartNumberingAfterBreak="0">
    <w:nsid w:val="66C8628B"/>
    <w:multiLevelType w:val="hybridMultilevel"/>
    <w:tmpl w:val="5170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6DC55F3"/>
    <w:multiLevelType w:val="hybridMultilevel"/>
    <w:tmpl w:val="1DD4B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5"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7"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8"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9F1051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A7B3896"/>
    <w:multiLevelType w:val="hybridMultilevel"/>
    <w:tmpl w:val="0ABAC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AE5D71"/>
    <w:multiLevelType w:val="hybridMultilevel"/>
    <w:tmpl w:val="125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8" w15:restartNumberingAfterBreak="0">
    <w:nsid w:val="6F2F2463"/>
    <w:multiLevelType w:val="hybridMultilevel"/>
    <w:tmpl w:val="AB9A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31"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2" w15:restartNumberingAfterBreak="0">
    <w:nsid w:val="70FD5C9D"/>
    <w:multiLevelType w:val="hybridMultilevel"/>
    <w:tmpl w:val="963AD1A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3" w15:restartNumberingAfterBreak="0">
    <w:nsid w:val="717B4781"/>
    <w:multiLevelType w:val="hybridMultilevel"/>
    <w:tmpl w:val="D390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4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4ED7151"/>
    <w:multiLevelType w:val="multilevel"/>
    <w:tmpl w:val="F8244648"/>
    <w:numStyleLink w:val="StyleBulletedSymbolsymbolLeft025Hanging0252"/>
  </w:abstractNum>
  <w:abstractNum w:abstractNumId="242" w15:restartNumberingAfterBreak="0">
    <w:nsid w:val="75A34830"/>
    <w:multiLevelType w:val="hybridMultilevel"/>
    <w:tmpl w:val="9948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68C2489"/>
    <w:multiLevelType w:val="hybridMultilevel"/>
    <w:tmpl w:val="850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6" w15:restartNumberingAfterBreak="0">
    <w:nsid w:val="77054161"/>
    <w:multiLevelType w:val="hybridMultilevel"/>
    <w:tmpl w:val="C14C30B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7"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8" w15:restartNumberingAfterBreak="0">
    <w:nsid w:val="77955B5E"/>
    <w:multiLevelType w:val="hybridMultilevel"/>
    <w:tmpl w:val="E904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7AE31DA"/>
    <w:multiLevelType w:val="hybridMultilevel"/>
    <w:tmpl w:val="90B266CE"/>
    <w:lvl w:ilvl="0" w:tplc="C92AE3EE">
      <w:start w:val="2"/>
      <w:numFmt w:val="bullet"/>
      <w:lvlText w:val="-"/>
      <w:lvlJc w:val="left"/>
      <w:pPr>
        <w:ind w:left="1004"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1"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A281170"/>
    <w:multiLevelType w:val="hybridMultilevel"/>
    <w:tmpl w:val="6138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AE44D44"/>
    <w:multiLevelType w:val="hybridMultilevel"/>
    <w:tmpl w:val="CA2A68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5"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7B460FF0"/>
    <w:multiLevelType w:val="hybridMultilevel"/>
    <w:tmpl w:val="1534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0"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1"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7CDC5863"/>
    <w:multiLevelType w:val="hybridMultilevel"/>
    <w:tmpl w:val="3FB42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4"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5"/>
  </w:num>
  <w:num w:numId="4">
    <w:abstractNumId w:val="211"/>
  </w:num>
  <w:num w:numId="5">
    <w:abstractNumId w:val="247"/>
  </w:num>
  <w:num w:numId="6">
    <w:abstractNumId w:val="244"/>
  </w:num>
  <w:num w:numId="7">
    <w:abstractNumId w:val="228"/>
  </w:num>
  <w:num w:numId="8">
    <w:abstractNumId w:val="131"/>
  </w:num>
  <w:num w:numId="9">
    <w:abstractNumId w:val="55"/>
  </w:num>
  <w:num w:numId="10">
    <w:abstractNumId w:val="24"/>
  </w:num>
  <w:num w:numId="11">
    <w:abstractNumId w:val="238"/>
  </w:num>
  <w:num w:numId="12">
    <w:abstractNumId w:val="178"/>
  </w:num>
  <w:num w:numId="13">
    <w:abstractNumId w:val="102"/>
  </w:num>
  <w:num w:numId="14">
    <w:abstractNumId w:val="241"/>
  </w:num>
  <w:num w:numId="15">
    <w:abstractNumId w:val="30"/>
  </w:num>
  <w:num w:numId="16">
    <w:abstractNumId w:val="233"/>
  </w:num>
  <w:num w:numId="17">
    <w:abstractNumId w:val="84"/>
  </w:num>
  <w:num w:numId="18">
    <w:abstractNumId w:val="117"/>
  </w:num>
  <w:num w:numId="19">
    <w:abstractNumId w:val="109"/>
  </w:num>
  <w:num w:numId="20">
    <w:abstractNumId w:val="186"/>
  </w:num>
  <w:num w:numId="21">
    <w:abstractNumId w:val="247"/>
  </w:num>
  <w:num w:numId="22">
    <w:abstractNumId w:val="223"/>
  </w:num>
  <w:num w:numId="23">
    <w:abstractNumId w:val="135"/>
  </w:num>
  <w:num w:numId="24">
    <w:abstractNumId w:val="165"/>
  </w:num>
  <w:num w:numId="25">
    <w:abstractNumId w:val="79"/>
  </w:num>
  <w:num w:numId="26">
    <w:abstractNumId w:val="253"/>
  </w:num>
  <w:num w:numId="27">
    <w:abstractNumId w:val="206"/>
  </w:num>
  <w:num w:numId="28">
    <w:abstractNumId w:val="50"/>
  </w:num>
  <w:num w:numId="29">
    <w:abstractNumId w:val="213"/>
  </w:num>
  <w:num w:numId="30">
    <w:abstractNumId w:val="188"/>
  </w:num>
  <w:num w:numId="31">
    <w:abstractNumId w:val="16"/>
  </w:num>
  <w:num w:numId="32">
    <w:abstractNumId w:val="169"/>
  </w:num>
  <w:num w:numId="33">
    <w:abstractNumId w:val="33"/>
  </w:num>
  <w:num w:numId="34">
    <w:abstractNumId w:val="73"/>
  </w:num>
  <w:num w:numId="35">
    <w:abstractNumId w:val="209"/>
  </w:num>
  <w:num w:numId="36">
    <w:abstractNumId w:val="210"/>
  </w:num>
  <w:num w:numId="37">
    <w:abstractNumId w:val="90"/>
  </w:num>
  <w:num w:numId="38">
    <w:abstractNumId w:val="163"/>
  </w:num>
  <w:num w:numId="39">
    <w:abstractNumId w:val="120"/>
  </w:num>
  <w:num w:numId="40">
    <w:abstractNumId w:val="26"/>
  </w:num>
  <w:num w:numId="41">
    <w:abstractNumId w:val="115"/>
  </w:num>
  <w:num w:numId="42">
    <w:abstractNumId w:val="29"/>
  </w:num>
  <w:num w:numId="43">
    <w:abstractNumId w:val="239"/>
  </w:num>
  <w:num w:numId="44">
    <w:abstractNumId w:val="160"/>
  </w:num>
  <w:num w:numId="45">
    <w:abstractNumId w:val="37"/>
  </w:num>
  <w:num w:numId="46">
    <w:abstractNumId w:val="12"/>
  </w:num>
  <w:num w:numId="47">
    <w:abstractNumId w:val="173"/>
  </w:num>
  <w:num w:numId="48">
    <w:abstractNumId w:val="263"/>
  </w:num>
  <w:num w:numId="49">
    <w:abstractNumId w:val="259"/>
  </w:num>
  <w:num w:numId="50">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51">
    <w:abstractNumId w:val="234"/>
  </w:num>
  <w:num w:numId="52">
    <w:abstractNumId w:val="151"/>
  </w:num>
  <w:num w:numId="53">
    <w:abstractNumId w:val="54"/>
  </w:num>
  <w:num w:numId="54">
    <w:abstractNumId w:val="265"/>
  </w:num>
  <w:num w:numId="55">
    <w:abstractNumId w:val="103"/>
  </w:num>
  <w:num w:numId="56">
    <w:abstractNumId w:val="6"/>
  </w:num>
  <w:num w:numId="57">
    <w:abstractNumId w:val="25"/>
  </w:num>
  <w:num w:numId="58">
    <w:abstractNumId w:val="208"/>
  </w:num>
  <w:num w:numId="59">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num>
  <w:num w:numId="62">
    <w:abstractNumId w:val="151"/>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8"/>
  </w:num>
  <w:num w:numId="65">
    <w:abstractNumId w:val="136"/>
  </w:num>
  <w:num w:numId="66">
    <w:abstractNumId w:val="154"/>
  </w:num>
  <w:num w:numId="67">
    <w:abstractNumId w:val="44"/>
  </w:num>
  <w:num w:numId="68">
    <w:abstractNumId w:val="76"/>
  </w:num>
  <w:num w:numId="69">
    <w:abstractNumId w:val="75"/>
  </w:num>
  <w:num w:numId="70">
    <w:abstractNumId w:val="1"/>
  </w:num>
  <w:num w:numId="71">
    <w:abstractNumId w:val="78"/>
  </w:num>
  <w:num w:numId="72">
    <w:abstractNumId w:val="222"/>
  </w:num>
  <w:num w:numId="73">
    <w:abstractNumId w:val="63"/>
  </w:num>
  <w:num w:numId="74">
    <w:abstractNumId w:val="168"/>
  </w:num>
  <w:num w:numId="75">
    <w:abstractNumId w:val="248"/>
  </w:num>
  <w:num w:numId="76">
    <w:abstractNumId w:val="224"/>
  </w:num>
  <w:num w:numId="77">
    <w:abstractNumId w:val="100"/>
  </w:num>
  <w:num w:numId="78">
    <w:abstractNumId w:val="225"/>
  </w:num>
  <w:num w:numId="79">
    <w:abstractNumId w:val="121"/>
  </w:num>
  <w:num w:numId="80">
    <w:abstractNumId w:val="49"/>
  </w:num>
  <w:num w:numId="81">
    <w:abstractNumId w:val="229"/>
  </w:num>
  <w:num w:numId="82">
    <w:abstractNumId w:val="200"/>
  </w:num>
  <w:num w:numId="83">
    <w:abstractNumId w:val="230"/>
  </w:num>
  <w:num w:numId="84">
    <w:abstractNumId w:val="60"/>
  </w:num>
  <w:num w:numId="85">
    <w:abstractNumId w:val="162"/>
  </w:num>
  <w:num w:numId="86">
    <w:abstractNumId w:val="3"/>
  </w:num>
  <w:num w:numId="87">
    <w:abstractNumId w:val="129"/>
  </w:num>
  <w:num w:numId="88">
    <w:abstractNumId w:val="257"/>
  </w:num>
  <w:num w:numId="89">
    <w:abstractNumId w:val="88"/>
  </w:num>
  <w:num w:numId="90">
    <w:abstractNumId w:val="207"/>
  </w:num>
  <w:num w:numId="91">
    <w:abstractNumId w:val="217"/>
  </w:num>
  <w:num w:numId="92">
    <w:abstractNumId w:val="202"/>
  </w:num>
  <w:num w:numId="93">
    <w:abstractNumId w:val="8"/>
  </w:num>
  <w:num w:numId="94">
    <w:abstractNumId w:val="81"/>
  </w:num>
  <w:num w:numId="95">
    <w:abstractNumId w:val="174"/>
  </w:num>
  <w:num w:numId="96">
    <w:abstractNumId w:val="189"/>
  </w:num>
  <w:num w:numId="97">
    <w:abstractNumId w:val="137"/>
  </w:num>
  <w:num w:numId="98">
    <w:abstractNumId w:val="214"/>
  </w:num>
  <w:num w:numId="99">
    <w:abstractNumId w:val="104"/>
  </w:num>
  <w:num w:numId="100">
    <w:abstractNumId w:val="86"/>
  </w:num>
  <w:num w:numId="101">
    <w:abstractNumId w:val="15"/>
  </w:num>
  <w:num w:numId="102">
    <w:abstractNumId w:val="181"/>
  </w:num>
  <w:num w:numId="103">
    <w:abstractNumId w:val="144"/>
  </w:num>
  <w:num w:numId="104">
    <w:abstractNumId w:val="9"/>
  </w:num>
  <w:num w:numId="105">
    <w:abstractNumId w:val="262"/>
  </w:num>
  <w:num w:numId="106">
    <w:abstractNumId w:val="193"/>
  </w:num>
  <w:num w:numId="107">
    <w:abstractNumId w:val="58"/>
  </w:num>
  <w:num w:numId="108">
    <w:abstractNumId w:val="190"/>
  </w:num>
  <w:num w:numId="109">
    <w:abstractNumId w:val="112"/>
  </w:num>
  <w:num w:numId="110">
    <w:abstractNumId w:val="256"/>
  </w:num>
  <w:num w:numId="111">
    <w:abstractNumId w:val="125"/>
  </w:num>
  <w:num w:numId="112">
    <w:abstractNumId w:val="254"/>
  </w:num>
  <w:num w:numId="113">
    <w:abstractNumId w:val="97"/>
  </w:num>
  <w:num w:numId="114">
    <w:abstractNumId w:val="47"/>
  </w:num>
  <w:num w:numId="115">
    <w:abstractNumId w:val="51"/>
  </w:num>
  <w:num w:numId="116">
    <w:abstractNumId w:val="240"/>
  </w:num>
  <w:num w:numId="117">
    <w:abstractNumId w:val="201"/>
  </w:num>
  <w:num w:numId="118">
    <w:abstractNumId w:val="127"/>
  </w:num>
  <w:num w:numId="119">
    <w:abstractNumId w:val="69"/>
  </w:num>
  <w:num w:numId="120">
    <w:abstractNumId w:val="260"/>
  </w:num>
  <w:num w:numId="121">
    <w:abstractNumId w:val="159"/>
  </w:num>
  <w:num w:numId="122">
    <w:abstractNumId w:val="22"/>
  </w:num>
  <w:num w:numId="123">
    <w:abstractNumId w:val="111"/>
  </w:num>
  <w:num w:numId="124">
    <w:abstractNumId w:val="231"/>
  </w:num>
  <w:num w:numId="125">
    <w:abstractNumId w:val="72"/>
  </w:num>
  <w:num w:numId="126">
    <w:abstractNumId w:val="5"/>
  </w:num>
  <w:num w:numId="127">
    <w:abstractNumId w:val="219"/>
  </w:num>
  <w:num w:numId="128">
    <w:abstractNumId w:val="132"/>
  </w:num>
  <w:num w:numId="129">
    <w:abstractNumId w:val="98"/>
  </w:num>
  <w:num w:numId="130">
    <w:abstractNumId w:val="139"/>
  </w:num>
  <w:num w:numId="131">
    <w:abstractNumId w:val="220"/>
  </w:num>
  <w:num w:numId="132">
    <w:abstractNumId w:val="74"/>
  </w:num>
  <w:num w:numId="133">
    <w:abstractNumId w:val="110"/>
  </w:num>
  <w:num w:numId="134">
    <w:abstractNumId w:val="105"/>
  </w:num>
  <w:num w:numId="135">
    <w:abstractNumId w:val="59"/>
  </w:num>
  <w:num w:numId="136">
    <w:abstractNumId w:val="106"/>
  </w:num>
  <w:num w:numId="137">
    <w:abstractNumId w:val="243"/>
  </w:num>
  <w:num w:numId="138">
    <w:abstractNumId w:val="221"/>
  </w:num>
  <w:num w:numId="139">
    <w:abstractNumId w:val="34"/>
  </w:num>
  <w:num w:numId="140">
    <w:abstractNumId w:val="157"/>
  </w:num>
  <w:num w:numId="141">
    <w:abstractNumId w:val="149"/>
  </w:num>
  <w:num w:numId="142">
    <w:abstractNumId w:val="27"/>
  </w:num>
  <w:num w:numId="143">
    <w:abstractNumId w:val="212"/>
  </w:num>
  <w:num w:numId="144">
    <w:abstractNumId w:val="52"/>
  </w:num>
  <w:num w:numId="145">
    <w:abstractNumId w:val="152"/>
  </w:num>
  <w:num w:numId="146">
    <w:abstractNumId w:val="114"/>
  </w:num>
  <w:num w:numId="147">
    <w:abstractNumId w:val="246"/>
  </w:num>
  <w:num w:numId="148">
    <w:abstractNumId w:val="68"/>
  </w:num>
  <w:num w:numId="149">
    <w:abstractNumId w:val="150"/>
  </w:num>
  <w:num w:numId="150">
    <w:abstractNumId w:val="170"/>
  </w:num>
  <w:num w:numId="151">
    <w:abstractNumId w:val="101"/>
  </w:num>
  <w:num w:numId="152">
    <w:abstractNumId w:val="107"/>
  </w:num>
  <w:num w:numId="153">
    <w:abstractNumId w:val="184"/>
  </w:num>
  <w:num w:numId="154">
    <w:abstractNumId w:val="134"/>
  </w:num>
  <w:num w:numId="155">
    <w:abstractNumId w:val="227"/>
  </w:num>
  <w:num w:numId="156">
    <w:abstractNumId w:val="56"/>
  </w:num>
  <w:num w:numId="157">
    <w:abstractNumId w:val="123"/>
  </w:num>
  <w:num w:numId="158">
    <w:abstractNumId w:val="57"/>
  </w:num>
  <w:num w:numId="159">
    <w:abstractNumId w:val="89"/>
  </w:num>
  <w:num w:numId="160">
    <w:abstractNumId w:val="232"/>
  </w:num>
  <w:num w:numId="161">
    <w:abstractNumId w:val="70"/>
  </w:num>
  <w:num w:numId="162">
    <w:abstractNumId w:val="215"/>
  </w:num>
  <w:num w:numId="163">
    <w:abstractNumId w:val="148"/>
  </w:num>
  <w:num w:numId="164">
    <w:abstractNumId w:val="119"/>
  </w:num>
  <w:num w:numId="165">
    <w:abstractNumId w:val="198"/>
  </w:num>
  <w:num w:numId="166">
    <w:abstractNumId w:val="195"/>
  </w:num>
  <w:num w:numId="167">
    <w:abstractNumId w:val="177"/>
  </w:num>
  <w:num w:numId="168">
    <w:abstractNumId w:val="108"/>
  </w:num>
  <w:num w:numId="169">
    <w:abstractNumId w:val="18"/>
  </w:num>
  <w:num w:numId="170">
    <w:abstractNumId w:val="62"/>
  </w:num>
  <w:num w:numId="171">
    <w:abstractNumId w:val="175"/>
  </w:num>
  <w:num w:numId="172">
    <w:abstractNumId w:val="250"/>
  </w:num>
  <w:num w:numId="173">
    <w:abstractNumId w:val="41"/>
  </w:num>
  <w:num w:numId="174">
    <w:abstractNumId w:val="91"/>
  </w:num>
  <w:num w:numId="175">
    <w:abstractNumId w:val="77"/>
  </w:num>
  <w:num w:numId="176">
    <w:abstractNumId w:val="205"/>
  </w:num>
  <w:num w:numId="177">
    <w:abstractNumId w:val="17"/>
  </w:num>
  <w:num w:numId="178">
    <w:abstractNumId w:val="71"/>
  </w:num>
  <w:num w:numId="179">
    <w:abstractNumId w:val="185"/>
  </w:num>
  <w:num w:numId="180">
    <w:abstractNumId w:val="145"/>
  </w:num>
  <w:num w:numId="181">
    <w:abstractNumId w:val="45"/>
  </w:num>
  <w:num w:numId="182">
    <w:abstractNumId w:val="143"/>
  </w:num>
  <w:num w:numId="183">
    <w:abstractNumId w:val="35"/>
  </w:num>
  <w:num w:numId="184">
    <w:abstractNumId w:val="20"/>
  </w:num>
  <w:num w:numId="185">
    <w:abstractNumId w:val="191"/>
  </w:num>
  <w:num w:numId="186">
    <w:abstractNumId w:val="252"/>
  </w:num>
  <w:num w:numId="187">
    <w:abstractNumId w:val="67"/>
  </w:num>
  <w:num w:numId="188">
    <w:abstractNumId w:val="164"/>
  </w:num>
  <w:num w:numId="189">
    <w:abstractNumId w:val="85"/>
  </w:num>
  <w:num w:numId="190">
    <w:abstractNumId w:val="64"/>
  </w:num>
  <w:num w:numId="191">
    <w:abstractNumId w:val="82"/>
  </w:num>
  <w:num w:numId="192">
    <w:abstractNumId w:val="126"/>
  </w:num>
  <w:num w:numId="193">
    <w:abstractNumId w:val="199"/>
  </w:num>
  <w:num w:numId="194">
    <w:abstractNumId w:val="194"/>
  </w:num>
  <w:num w:numId="195">
    <w:abstractNumId w:val="2"/>
  </w:num>
  <w:num w:numId="196">
    <w:abstractNumId w:val="142"/>
  </w:num>
  <w:num w:numId="197">
    <w:abstractNumId w:val="83"/>
  </w:num>
  <w:num w:numId="198">
    <w:abstractNumId w:val="196"/>
  </w:num>
  <w:num w:numId="199">
    <w:abstractNumId w:val="156"/>
  </w:num>
  <w:num w:numId="200">
    <w:abstractNumId w:val="179"/>
  </w:num>
  <w:num w:numId="201">
    <w:abstractNumId w:val="236"/>
  </w:num>
  <w:num w:numId="202">
    <w:abstractNumId w:val="203"/>
  </w:num>
  <w:num w:numId="203">
    <w:abstractNumId w:val="118"/>
  </w:num>
  <w:num w:numId="204">
    <w:abstractNumId w:val="80"/>
  </w:num>
  <w:num w:numId="205">
    <w:abstractNumId w:val="258"/>
  </w:num>
  <w:num w:numId="206">
    <w:abstractNumId w:val="10"/>
  </w:num>
  <w:num w:numId="207">
    <w:abstractNumId w:val="94"/>
  </w:num>
  <w:num w:numId="208">
    <w:abstractNumId w:val="192"/>
  </w:num>
  <w:num w:numId="209">
    <w:abstractNumId w:val="237"/>
  </w:num>
  <w:num w:numId="210">
    <w:abstractNumId w:val="147"/>
  </w:num>
  <w:num w:numId="211">
    <w:abstractNumId w:val="176"/>
  </w:num>
  <w:num w:numId="212">
    <w:abstractNumId w:val="19"/>
  </w:num>
  <w:num w:numId="213">
    <w:abstractNumId w:val="266"/>
  </w:num>
  <w:num w:numId="214">
    <w:abstractNumId w:val="92"/>
  </w:num>
  <w:num w:numId="215">
    <w:abstractNumId w:val="146"/>
  </w:num>
  <w:num w:numId="216">
    <w:abstractNumId w:val="226"/>
  </w:num>
  <w:num w:numId="217">
    <w:abstractNumId w:val="116"/>
  </w:num>
  <w:num w:numId="218">
    <w:abstractNumId w:val="172"/>
  </w:num>
  <w:num w:numId="219">
    <w:abstractNumId w:val="197"/>
  </w:num>
  <w:num w:numId="220">
    <w:abstractNumId w:val="65"/>
  </w:num>
  <w:num w:numId="221">
    <w:abstractNumId w:val="128"/>
  </w:num>
  <w:num w:numId="222">
    <w:abstractNumId w:val="66"/>
  </w:num>
  <w:num w:numId="223">
    <w:abstractNumId w:val="235"/>
  </w:num>
  <w:num w:numId="224">
    <w:abstractNumId w:val="95"/>
  </w:num>
  <w:num w:numId="225">
    <w:abstractNumId w:val="122"/>
  </w:num>
  <w:num w:numId="226">
    <w:abstractNumId w:val="130"/>
  </w:num>
  <w:num w:numId="227">
    <w:abstractNumId w:val="161"/>
  </w:num>
  <w:num w:numId="228">
    <w:abstractNumId w:val="158"/>
  </w:num>
  <w:num w:numId="229">
    <w:abstractNumId w:val="46"/>
  </w:num>
  <w:num w:numId="230">
    <w:abstractNumId w:val="113"/>
  </w:num>
  <w:num w:numId="231">
    <w:abstractNumId w:val="42"/>
  </w:num>
  <w:num w:numId="232">
    <w:abstractNumId w:val="133"/>
  </w:num>
  <w:num w:numId="233">
    <w:abstractNumId w:val="53"/>
  </w:num>
  <w:num w:numId="234">
    <w:abstractNumId w:val="216"/>
  </w:num>
  <w:num w:numId="235">
    <w:abstractNumId w:val="31"/>
  </w:num>
  <w:num w:numId="236">
    <w:abstractNumId w:val="255"/>
  </w:num>
  <w:num w:numId="237">
    <w:abstractNumId w:val="166"/>
  </w:num>
  <w:num w:numId="238">
    <w:abstractNumId w:val="93"/>
  </w:num>
  <w:num w:numId="23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218"/>
  </w:num>
  <w:num w:numId="241">
    <w:abstractNumId w:val="180"/>
  </w:num>
  <w:num w:numId="242">
    <w:abstractNumId w:val="40"/>
  </w:num>
  <w:num w:numId="243">
    <w:abstractNumId w:val="99"/>
  </w:num>
  <w:num w:numId="244">
    <w:abstractNumId w:val="28"/>
  </w:num>
  <w:num w:numId="245">
    <w:abstractNumId w:val="171"/>
  </w:num>
  <w:num w:numId="246">
    <w:abstractNumId w:val="124"/>
  </w:num>
  <w:num w:numId="247">
    <w:abstractNumId w:val="167"/>
  </w:num>
  <w:num w:numId="248">
    <w:abstractNumId w:val="204"/>
  </w:num>
  <w:num w:numId="249">
    <w:abstractNumId w:val="7"/>
  </w:num>
  <w:num w:numId="250">
    <w:abstractNumId w:val="13"/>
  </w:num>
  <w:num w:numId="251">
    <w:abstractNumId w:val="138"/>
  </w:num>
  <w:num w:numId="252">
    <w:abstractNumId w:val="38"/>
  </w:num>
  <w:num w:numId="253">
    <w:abstractNumId w:val="242"/>
  </w:num>
  <w:num w:numId="254">
    <w:abstractNumId w:val="14"/>
  </w:num>
  <w:num w:numId="255">
    <w:abstractNumId w:val="182"/>
  </w:num>
  <w:num w:numId="256">
    <w:abstractNumId w:val="247"/>
  </w:num>
  <w:num w:numId="257">
    <w:abstractNumId w:val="153"/>
  </w:num>
  <w:num w:numId="258">
    <w:abstractNumId w:val="251"/>
  </w:num>
  <w:num w:numId="259">
    <w:abstractNumId w:val="264"/>
  </w:num>
  <w:num w:numId="260">
    <w:abstractNumId w:val="183"/>
  </w:num>
  <w:num w:numId="261">
    <w:abstractNumId w:val="87"/>
  </w:num>
  <w:num w:numId="262">
    <w:abstractNumId w:val="43"/>
  </w:num>
  <w:num w:numId="263">
    <w:abstractNumId w:val="247"/>
  </w:num>
  <w:num w:numId="264">
    <w:abstractNumId w:val="247"/>
  </w:num>
  <w:num w:numId="265">
    <w:abstractNumId w:val="249"/>
  </w:num>
  <w:num w:numId="266">
    <w:abstractNumId w:val="36"/>
  </w:num>
  <w:num w:numId="267">
    <w:abstractNumId w:val="61"/>
  </w:num>
  <w:num w:numId="268">
    <w:abstractNumId w:val="155"/>
  </w:num>
  <w:num w:numId="269">
    <w:abstractNumId w:val="96"/>
  </w:num>
  <w:num w:numId="270">
    <w:abstractNumId w:val="140"/>
  </w:num>
  <w:num w:numId="271">
    <w:abstractNumId w:val="32"/>
  </w:num>
  <w:num w:numId="272">
    <w:abstractNumId w:val="247"/>
  </w:num>
  <w:num w:numId="273">
    <w:abstractNumId w:val="11"/>
  </w:num>
  <w:num w:numId="274">
    <w:abstractNumId w:val="261"/>
  </w:num>
  <w:num w:numId="275">
    <w:abstractNumId w:val="39"/>
  </w:num>
  <w:num w:numId="276">
    <w:abstractNumId w:val="4"/>
  </w:num>
  <w:num w:numId="277">
    <w:abstractNumId w:val="141"/>
  </w:num>
  <w:num w:numId="278">
    <w:abstractNumId w:val="187"/>
  </w:num>
  <w:numIdMacAtCleanup w:val="2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3698"/>
    <w:rsid w:val="000041F1"/>
    <w:rsid w:val="00005408"/>
    <w:rsid w:val="000101D3"/>
    <w:rsid w:val="00010CB9"/>
    <w:rsid w:val="0001234A"/>
    <w:rsid w:val="00012E3F"/>
    <w:rsid w:val="00013FD3"/>
    <w:rsid w:val="00020C79"/>
    <w:rsid w:val="000215FB"/>
    <w:rsid w:val="00022CA2"/>
    <w:rsid w:val="000236F1"/>
    <w:rsid w:val="00024734"/>
    <w:rsid w:val="00026D65"/>
    <w:rsid w:val="000356BB"/>
    <w:rsid w:val="00036DD5"/>
    <w:rsid w:val="0004462A"/>
    <w:rsid w:val="000518E8"/>
    <w:rsid w:val="00052ED1"/>
    <w:rsid w:val="0005386D"/>
    <w:rsid w:val="00057F9D"/>
    <w:rsid w:val="00062D49"/>
    <w:rsid w:val="00067595"/>
    <w:rsid w:val="0007038F"/>
    <w:rsid w:val="00075451"/>
    <w:rsid w:val="00076170"/>
    <w:rsid w:val="000812B1"/>
    <w:rsid w:val="000909E1"/>
    <w:rsid w:val="000B5374"/>
    <w:rsid w:val="000B5FCF"/>
    <w:rsid w:val="000C1E7C"/>
    <w:rsid w:val="000C1FE2"/>
    <w:rsid w:val="000C4E7F"/>
    <w:rsid w:val="000C5D58"/>
    <w:rsid w:val="000D5693"/>
    <w:rsid w:val="000E7739"/>
    <w:rsid w:val="000F4187"/>
    <w:rsid w:val="000F50F0"/>
    <w:rsid w:val="000F539A"/>
    <w:rsid w:val="000F6ADB"/>
    <w:rsid w:val="00100C55"/>
    <w:rsid w:val="00102664"/>
    <w:rsid w:val="00110933"/>
    <w:rsid w:val="00113777"/>
    <w:rsid w:val="0011502D"/>
    <w:rsid w:val="00121A66"/>
    <w:rsid w:val="00122EC4"/>
    <w:rsid w:val="0012708D"/>
    <w:rsid w:val="001274A4"/>
    <w:rsid w:val="00127BC0"/>
    <w:rsid w:val="00143F5C"/>
    <w:rsid w:val="00145258"/>
    <w:rsid w:val="00147A77"/>
    <w:rsid w:val="00155F9F"/>
    <w:rsid w:val="00161A42"/>
    <w:rsid w:val="00162167"/>
    <w:rsid w:val="00162C11"/>
    <w:rsid w:val="00163379"/>
    <w:rsid w:val="001634EB"/>
    <w:rsid w:val="00170F78"/>
    <w:rsid w:val="001741D0"/>
    <w:rsid w:val="00175C84"/>
    <w:rsid w:val="00176426"/>
    <w:rsid w:val="001844D1"/>
    <w:rsid w:val="00185B83"/>
    <w:rsid w:val="001936FD"/>
    <w:rsid w:val="001956F6"/>
    <w:rsid w:val="0019748C"/>
    <w:rsid w:val="001A746F"/>
    <w:rsid w:val="001B1EED"/>
    <w:rsid w:val="001B6DB4"/>
    <w:rsid w:val="001C6062"/>
    <w:rsid w:val="001C6BAF"/>
    <w:rsid w:val="001D27A1"/>
    <w:rsid w:val="001D3C17"/>
    <w:rsid w:val="001D3EB4"/>
    <w:rsid w:val="001E10A2"/>
    <w:rsid w:val="001E2643"/>
    <w:rsid w:val="001E3834"/>
    <w:rsid w:val="001E4F62"/>
    <w:rsid w:val="001F2C0B"/>
    <w:rsid w:val="001F42E2"/>
    <w:rsid w:val="001F7572"/>
    <w:rsid w:val="00206822"/>
    <w:rsid w:val="00206BC8"/>
    <w:rsid w:val="00207A6C"/>
    <w:rsid w:val="002125A9"/>
    <w:rsid w:val="00215B71"/>
    <w:rsid w:val="00220900"/>
    <w:rsid w:val="00225143"/>
    <w:rsid w:val="00227139"/>
    <w:rsid w:val="00233072"/>
    <w:rsid w:val="0023397C"/>
    <w:rsid w:val="002423CB"/>
    <w:rsid w:val="00245EFE"/>
    <w:rsid w:val="002563B0"/>
    <w:rsid w:val="00265A34"/>
    <w:rsid w:val="00265F30"/>
    <w:rsid w:val="00266F63"/>
    <w:rsid w:val="002714AD"/>
    <w:rsid w:val="0027472B"/>
    <w:rsid w:val="002762ED"/>
    <w:rsid w:val="00276597"/>
    <w:rsid w:val="00281641"/>
    <w:rsid w:val="00284E1B"/>
    <w:rsid w:val="002916D3"/>
    <w:rsid w:val="00292898"/>
    <w:rsid w:val="002943AD"/>
    <w:rsid w:val="002A0E80"/>
    <w:rsid w:val="002A2B60"/>
    <w:rsid w:val="002A30E8"/>
    <w:rsid w:val="002A416C"/>
    <w:rsid w:val="002B1ACB"/>
    <w:rsid w:val="002B2B66"/>
    <w:rsid w:val="002B4654"/>
    <w:rsid w:val="002B7375"/>
    <w:rsid w:val="002C16A9"/>
    <w:rsid w:val="002C5C28"/>
    <w:rsid w:val="002D3CF4"/>
    <w:rsid w:val="002D645B"/>
    <w:rsid w:val="002D6766"/>
    <w:rsid w:val="002E2FAF"/>
    <w:rsid w:val="002E597C"/>
    <w:rsid w:val="002F13BE"/>
    <w:rsid w:val="002F22AB"/>
    <w:rsid w:val="002F6723"/>
    <w:rsid w:val="0030498C"/>
    <w:rsid w:val="0030632C"/>
    <w:rsid w:val="003063F3"/>
    <w:rsid w:val="00307C1C"/>
    <w:rsid w:val="0031044C"/>
    <w:rsid w:val="00311998"/>
    <w:rsid w:val="00311F9E"/>
    <w:rsid w:val="00313886"/>
    <w:rsid w:val="0031657E"/>
    <w:rsid w:val="00317E46"/>
    <w:rsid w:val="003204C6"/>
    <w:rsid w:val="003229F9"/>
    <w:rsid w:val="00324DA8"/>
    <w:rsid w:val="00325D8C"/>
    <w:rsid w:val="0032630A"/>
    <w:rsid w:val="00326467"/>
    <w:rsid w:val="003315F0"/>
    <w:rsid w:val="0034042E"/>
    <w:rsid w:val="00347CAC"/>
    <w:rsid w:val="0035082A"/>
    <w:rsid w:val="00350FC2"/>
    <w:rsid w:val="00354498"/>
    <w:rsid w:val="003646DA"/>
    <w:rsid w:val="00364D9E"/>
    <w:rsid w:val="0036533C"/>
    <w:rsid w:val="003658EA"/>
    <w:rsid w:val="00374260"/>
    <w:rsid w:val="00380B30"/>
    <w:rsid w:val="00382258"/>
    <w:rsid w:val="00390339"/>
    <w:rsid w:val="00393791"/>
    <w:rsid w:val="003A0007"/>
    <w:rsid w:val="003A7824"/>
    <w:rsid w:val="003B277E"/>
    <w:rsid w:val="003B35CB"/>
    <w:rsid w:val="003B5F9B"/>
    <w:rsid w:val="003B6B65"/>
    <w:rsid w:val="003C2F64"/>
    <w:rsid w:val="003D62A4"/>
    <w:rsid w:val="003D6332"/>
    <w:rsid w:val="003D657F"/>
    <w:rsid w:val="00400466"/>
    <w:rsid w:val="004004A6"/>
    <w:rsid w:val="0040121A"/>
    <w:rsid w:val="004035AD"/>
    <w:rsid w:val="004040FC"/>
    <w:rsid w:val="00405523"/>
    <w:rsid w:val="004070F0"/>
    <w:rsid w:val="004075F1"/>
    <w:rsid w:val="00414E16"/>
    <w:rsid w:val="00416BE4"/>
    <w:rsid w:val="004211DD"/>
    <w:rsid w:val="00423C16"/>
    <w:rsid w:val="00425857"/>
    <w:rsid w:val="0043095D"/>
    <w:rsid w:val="004320BC"/>
    <w:rsid w:val="00432F53"/>
    <w:rsid w:val="00437A2E"/>
    <w:rsid w:val="00440F45"/>
    <w:rsid w:val="0044171F"/>
    <w:rsid w:val="00442EB9"/>
    <w:rsid w:val="0044677E"/>
    <w:rsid w:val="00446BD7"/>
    <w:rsid w:val="00453929"/>
    <w:rsid w:val="00464BBE"/>
    <w:rsid w:val="00464EC7"/>
    <w:rsid w:val="00465686"/>
    <w:rsid w:val="00466A7E"/>
    <w:rsid w:val="004675BE"/>
    <w:rsid w:val="00470487"/>
    <w:rsid w:val="00470D49"/>
    <w:rsid w:val="004719E2"/>
    <w:rsid w:val="00474D78"/>
    <w:rsid w:val="00480491"/>
    <w:rsid w:val="00486645"/>
    <w:rsid w:val="00492C88"/>
    <w:rsid w:val="004930C0"/>
    <w:rsid w:val="004A2BF9"/>
    <w:rsid w:val="004A3907"/>
    <w:rsid w:val="004A4285"/>
    <w:rsid w:val="004B14AE"/>
    <w:rsid w:val="004B2368"/>
    <w:rsid w:val="004C04EC"/>
    <w:rsid w:val="004C163B"/>
    <w:rsid w:val="004C1945"/>
    <w:rsid w:val="004C36D6"/>
    <w:rsid w:val="004C585E"/>
    <w:rsid w:val="004D0635"/>
    <w:rsid w:val="004D3480"/>
    <w:rsid w:val="004D70CD"/>
    <w:rsid w:val="004E0656"/>
    <w:rsid w:val="004E66AD"/>
    <w:rsid w:val="004F04DE"/>
    <w:rsid w:val="004F0F46"/>
    <w:rsid w:val="004F2970"/>
    <w:rsid w:val="004F3137"/>
    <w:rsid w:val="005014C3"/>
    <w:rsid w:val="00502B1D"/>
    <w:rsid w:val="00506DFC"/>
    <w:rsid w:val="00514174"/>
    <w:rsid w:val="00514A4F"/>
    <w:rsid w:val="00516EC0"/>
    <w:rsid w:val="00517EC5"/>
    <w:rsid w:val="00526CA0"/>
    <w:rsid w:val="00530940"/>
    <w:rsid w:val="00530EB8"/>
    <w:rsid w:val="00532FD1"/>
    <w:rsid w:val="005349FF"/>
    <w:rsid w:val="00541279"/>
    <w:rsid w:val="00542715"/>
    <w:rsid w:val="005439A8"/>
    <w:rsid w:val="00552320"/>
    <w:rsid w:val="0056086F"/>
    <w:rsid w:val="00571D79"/>
    <w:rsid w:val="005769AE"/>
    <w:rsid w:val="00577145"/>
    <w:rsid w:val="0058051F"/>
    <w:rsid w:val="00582A8E"/>
    <w:rsid w:val="00583B9B"/>
    <w:rsid w:val="00587D2B"/>
    <w:rsid w:val="0059452B"/>
    <w:rsid w:val="00597CC0"/>
    <w:rsid w:val="005A1905"/>
    <w:rsid w:val="005A368D"/>
    <w:rsid w:val="005A4EC8"/>
    <w:rsid w:val="005A555B"/>
    <w:rsid w:val="005A5E83"/>
    <w:rsid w:val="005A63F2"/>
    <w:rsid w:val="005C4EC5"/>
    <w:rsid w:val="005D217E"/>
    <w:rsid w:val="005E163E"/>
    <w:rsid w:val="005E3D77"/>
    <w:rsid w:val="005F3506"/>
    <w:rsid w:val="00601E28"/>
    <w:rsid w:val="00604B66"/>
    <w:rsid w:val="006051C6"/>
    <w:rsid w:val="00610FA3"/>
    <w:rsid w:val="00614E92"/>
    <w:rsid w:val="00624FFF"/>
    <w:rsid w:val="00627A77"/>
    <w:rsid w:val="00632FC4"/>
    <w:rsid w:val="00635E32"/>
    <w:rsid w:val="006373E5"/>
    <w:rsid w:val="00640086"/>
    <w:rsid w:val="00641C32"/>
    <w:rsid w:val="0064205B"/>
    <w:rsid w:val="006515CC"/>
    <w:rsid w:val="00653F6B"/>
    <w:rsid w:val="00654CC6"/>
    <w:rsid w:val="00654F68"/>
    <w:rsid w:val="00656286"/>
    <w:rsid w:val="0066136E"/>
    <w:rsid w:val="00663B90"/>
    <w:rsid w:val="006672EA"/>
    <w:rsid w:val="0067135A"/>
    <w:rsid w:val="0067267C"/>
    <w:rsid w:val="00680577"/>
    <w:rsid w:val="00692524"/>
    <w:rsid w:val="006935C4"/>
    <w:rsid w:val="006A2B4F"/>
    <w:rsid w:val="006A366B"/>
    <w:rsid w:val="006A7F92"/>
    <w:rsid w:val="006B27C6"/>
    <w:rsid w:val="006B465F"/>
    <w:rsid w:val="006B492B"/>
    <w:rsid w:val="006B4CC0"/>
    <w:rsid w:val="006B535E"/>
    <w:rsid w:val="006C6E55"/>
    <w:rsid w:val="006D10DC"/>
    <w:rsid w:val="006D12EA"/>
    <w:rsid w:val="006D528A"/>
    <w:rsid w:val="006D61F8"/>
    <w:rsid w:val="006E1AFE"/>
    <w:rsid w:val="006E35BF"/>
    <w:rsid w:val="006E4132"/>
    <w:rsid w:val="006F0D17"/>
    <w:rsid w:val="006F6EFF"/>
    <w:rsid w:val="00703423"/>
    <w:rsid w:val="007035EB"/>
    <w:rsid w:val="00706228"/>
    <w:rsid w:val="007114CE"/>
    <w:rsid w:val="007115FC"/>
    <w:rsid w:val="00735C3E"/>
    <w:rsid w:val="00741C42"/>
    <w:rsid w:val="007433AD"/>
    <w:rsid w:val="0074448A"/>
    <w:rsid w:val="0074595E"/>
    <w:rsid w:val="00745EDF"/>
    <w:rsid w:val="0075228B"/>
    <w:rsid w:val="007572B7"/>
    <w:rsid w:val="00766479"/>
    <w:rsid w:val="00794AAD"/>
    <w:rsid w:val="007A1A35"/>
    <w:rsid w:val="007A586A"/>
    <w:rsid w:val="007B040C"/>
    <w:rsid w:val="007B17DC"/>
    <w:rsid w:val="007B5AF8"/>
    <w:rsid w:val="007B79A6"/>
    <w:rsid w:val="007C03BD"/>
    <w:rsid w:val="007C0A31"/>
    <w:rsid w:val="007C0F72"/>
    <w:rsid w:val="007C4178"/>
    <w:rsid w:val="007D4F43"/>
    <w:rsid w:val="007E48E8"/>
    <w:rsid w:val="007E78D1"/>
    <w:rsid w:val="007F2FC5"/>
    <w:rsid w:val="007F3AD9"/>
    <w:rsid w:val="007F3B71"/>
    <w:rsid w:val="007F7C4E"/>
    <w:rsid w:val="0080178F"/>
    <w:rsid w:val="00807529"/>
    <w:rsid w:val="00813A31"/>
    <w:rsid w:val="00813E2E"/>
    <w:rsid w:val="0081711B"/>
    <w:rsid w:val="008201E2"/>
    <w:rsid w:val="00821A49"/>
    <w:rsid w:val="0082363D"/>
    <w:rsid w:val="00823A50"/>
    <w:rsid w:val="00827137"/>
    <w:rsid w:val="008361FA"/>
    <w:rsid w:val="00841950"/>
    <w:rsid w:val="00845720"/>
    <w:rsid w:val="00850831"/>
    <w:rsid w:val="00853607"/>
    <w:rsid w:val="00857A26"/>
    <w:rsid w:val="00861853"/>
    <w:rsid w:val="00870E11"/>
    <w:rsid w:val="008733E2"/>
    <w:rsid w:val="00883664"/>
    <w:rsid w:val="008931EB"/>
    <w:rsid w:val="008943B2"/>
    <w:rsid w:val="008A2CD1"/>
    <w:rsid w:val="008A2F0E"/>
    <w:rsid w:val="008A50C6"/>
    <w:rsid w:val="008A58F9"/>
    <w:rsid w:val="008A7D0C"/>
    <w:rsid w:val="008A7FAB"/>
    <w:rsid w:val="008B126E"/>
    <w:rsid w:val="008B2858"/>
    <w:rsid w:val="008B7544"/>
    <w:rsid w:val="008B799E"/>
    <w:rsid w:val="008C0648"/>
    <w:rsid w:val="008C0A8E"/>
    <w:rsid w:val="008C29A9"/>
    <w:rsid w:val="008C2BCA"/>
    <w:rsid w:val="008C50D4"/>
    <w:rsid w:val="008C50F8"/>
    <w:rsid w:val="008C7AD6"/>
    <w:rsid w:val="008D58A8"/>
    <w:rsid w:val="008D5EB2"/>
    <w:rsid w:val="008D65CD"/>
    <w:rsid w:val="008E3059"/>
    <w:rsid w:val="008E4B31"/>
    <w:rsid w:val="008F25D0"/>
    <w:rsid w:val="008F464F"/>
    <w:rsid w:val="008F74DB"/>
    <w:rsid w:val="0090260D"/>
    <w:rsid w:val="00903FD2"/>
    <w:rsid w:val="00905069"/>
    <w:rsid w:val="00911FD7"/>
    <w:rsid w:val="00913229"/>
    <w:rsid w:val="00921681"/>
    <w:rsid w:val="00921CA8"/>
    <w:rsid w:val="00924160"/>
    <w:rsid w:val="009306EF"/>
    <w:rsid w:val="009321B7"/>
    <w:rsid w:val="00933680"/>
    <w:rsid w:val="009348EE"/>
    <w:rsid w:val="00937118"/>
    <w:rsid w:val="00941BC8"/>
    <w:rsid w:val="009451A1"/>
    <w:rsid w:val="00945239"/>
    <w:rsid w:val="00946032"/>
    <w:rsid w:val="00946CB1"/>
    <w:rsid w:val="009508A1"/>
    <w:rsid w:val="00951995"/>
    <w:rsid w:val="00953578"/>
    <w:rsid w:val="00955543"/>
    <w:rsid w:val="009608D2"/>
    <w:rsid w:val="0096270A"/>
    <w:rsid w:val="00962E4F"/>
    <w:rsid w:val="0096349F"/>
    <w:rsid w:val="00971DFC"/>
    <w:rsid w:val="00973CC3"/>
    <w:rsid w:val="00973E11"/>
    <w:rsid w:val="00974E5F"/>
    <w:rsid w:val="0097538C"/>
    <w:rsid w:val="00976D36"/>
    <w:rsid w:val="00977597"/>
    <w:rsid w:val="00980967"/>
    <w:rsid w:val="00983D2D"/>
    <w:rsid w:val="00984B5E"/>
    <w:rsid w:val="00985A99"/>
    <w:rsid w:val="009873C6"/>
    <w:rsid w:val="00992FC2"/>
    <w:rsid w:val="009974BA"/>
    <w:rsid w:val="009A02EC"/>
    <w:rsid w:val="009A5A45"/>
    <w:rsid w:val="009A721D"/>
    <w:rsid w:val="009B02C8"/>
    <w:rsid w:val="009B2291"/>
    <w:rsid w:val="009B2660"/>
    <w:rsid w:val="009B5CDC"/>
    <w:rsid w:val="009C37EB"/>
    <w:rsid w:val="009D46A9"/>
    <w:rsid w:val="009E0704"/>
    <w:rsid w:val="009E09E6"/>
    <w:rsid w:val="009E51CB"/>
    <w:rsid w:val="009E6080"/>
    <w:rsid w:val="009E6EF3"/>
    <w:rsid w:val="009E768C"/>
    <w:rsid w:val="009F13FB"/>
    <w:rsid w:val="00A004B3"/>
    <w:rsid w:val="00A02C62"/>
    <w:rsid w:val="00A0353A"/>
    <w:rsid w:val="00A04FCB"/>
    <w:rsid w:val="00A06938"/>
    <w:rsid w:val="00A12B12"/>
    <w:rsid w:val="00A15D8A"/>
    <w:rsid w:val="00A17D04"/>
    <w:rsid w:val="00A2229D"/>
    <w:rsid w:val="00A445C4"/>
    <w:rsid w:val="00A55904"/>
    <w:rsid w:val="00A577E9"/>
    <w:rsid w:val="00A57A17"/>
    <w:rsid w:val="00A608BF"/>
    <w:rsid w:val="00A61D51"/>
    <w:rsid w:val="00A672F0"/>
    <w:rsid w:val="00A72C81"/>
    <w:rsid w:val="00A74952"/>
    <w:rsid w:val="00A755B8"/>
    <w:rsid w:val="00A755F6"/>
    <w:rsid w:val="00A82339"/>
    <w:rsid w:val="00A83E34"/>
    <w:rsid w:val="00A856CD"/>
    <w:rsid w:val="00A9065B"/>
    <w:rsid w:val="00A9088C"/>
    <w:rsid w:val="00A92596"/>
    <w:rsid w:val="00AA3091"/>
    <w:rsid w:val="00AA33E8"/>
    <w:rsid w:val="00AA597D"/>
    <w:rsid w:val="00AB28CF"/>
    <w:rsid w:val="00AB28FA"/>
    <w:rsid w:val="00AB3E04"/>
    <w:rsid w:val="00AB41A3"/>
    <w:rsid w:val="00AB64F8"/>
    <w:rsid w:val="00AC0628"/>
    <w:rsid w:val="00AC077A"/>
    <w:rsid w:val="00AC145B"/>
    <w:rsid w:val="00AC26D1"/>
    <w:rsid w:val="00AC37D8"/>
    <w:rsid w:val="00AC5F96"/>
    <w:rsid w:val="00AC7BDD"/>
    <w:rsid w:val="00AC7D73"/>
    <w:rsid w:val="00AD0F7A"/>
    <w:rsid w:val="00AD1825"/>
    <w:rsid w:val="00AD35A1"/>
    <w:rsid w:val="00AE0CE0"/>
    <w:rsid w:val="00AE2A9A"/>
    <w:rsid w:val="00AE3AEF"/>
    <w:rsid w:val="00AE3F34"/>
    <w:rsid w:val="00AE6A88"/>
    <w:rsid w:val="00AF4837"/>
    <w:rsid w:val="00B01604"/>
    <w:rsid w:val="00B02A3B"/>
    <w:rsid w:val="00B02CB3"/>
    <w:rsid w:val="00B035B9"/>
    <w:rsid w:val="00B11500"/>
    <w:rsid w:val="00B121BF"/>
    <w:rsid w:val="00B13FA0"/>
    <w:rsid w:val="00B159D3"/>
    <w:rsid w:val="00B229B1"/>
    <w:rsid w:val="00B22F09"/>
    <w:rsid w:val="00B40D2B"/>
    <w:rsid w:val="00B47642"/>
    <w:rsid w:val="00B5152E"/>
    <w:rsid w:val="00B54622"/>
    <w:rsid w:val="00B551BB"/>
    <w:rsid w:val="00B614FF"/>
    <w:rsid w:val="00B6268E"/>
    <w:rsid w:val="00B62A6A"/>
    <w:rsid w:val="00B63171"/>
    <w:rsid w:val="00B65D1D"/>
    <w:rsid w:val="00B661E3"/>
    <w:rsid w:val="00B71A10"/>
    <w:rsid w:val="00B73B77"/>
    <w:rsid w:val="00B74162"/>
    <w:rsid w:val="00B800E3"/>
    <w:rsid w:val="00B80CCE"/>
    <w:rsid w:val="00B83E3D"/>
    <w:rsid w:val="00B85178"/>
    <w:rsid w:val="00B87EDA"/>
    <w:rsid w:val="00BA0B6B"/>
    <w:rsid w:val="00BA3171"/>
    <w:rsid w:val="00BA5908"/>
    <w:rsid w:val="00BA5BB0"/>
    <w:rsid w:val="00BA657E"/>
    <w:rsid w:val="00BB20A5"/>
    <w:rsid w:val="00BB4034"/>
    <w:rsid w:val="00BB58A8"/>
    <w:rsid w:val="00BB7CEB"/>
    <w:rsid w:val="00BC1E9F"/>
    <w:rsid w:val="00BC20DC"/>
    <w:rsid w:val="00BC4FA3"/>
    <w:rsid w:val="00BC6D77"/>
    <w:rsid w:val="00BD11A9"/>
    <w:rsid w:val="00BD6F0A"/>
    <w:rsid w:val="00BE0B15"/>
    <w:rsid w:val="00BE1908"/>
    <w:rsid w:val="00BE56CC"/>
    <w:rsid w:val="00BF037F"/>
    <w:rsid w:val="00BF0B61"/>
    <w:rsid w:val="00BF1447"/>
    <w:rsid w:val="00BF2EF4"/>
    <w:rsid w:val="00BF400D"/>
    <w:rsid w:val="00BF6F4F"/>
    <w:rsid w:val="00C07559"/>
    <w:rsid w:val="00C079B1"/>
    <w:rsid w:val="00C07D76"/>
    <w:rsid w:val="00C10C4D"/>
    <w:rsid w:val="00C1399D"/>
    <w:rsid w:val="00C15469"/>
    <w:rsid w:val="00C162E4"/>
    <w:rsid w:val="00C224FF"/>
    <w:rsid w:val="00C24683"/>
    <w:rsid w:val="00C276B2"/>
    <w:rsid w:val="00C30604"/>
    <w:rsid w:val="00C3094E"/>
    <w:rsid w:val="00C31C9F"/>
    <w:rsid w:val="00C3799A"/>
    <w:rsid w:val="00C505BD"/>
    <w:rsid w:val="00C52383"/>
    <w:rsid w:val="00C52757"/>
    <w:rsid w:val="00C5665B"/>
    <w:rsid w:val="00C56E74"/>
    <w:rsid w:val="00C578D1"/>
    <w:rsid w:val="00C6055B"/>
    <w:rsid w:val="00C617D2"/>
    <w:rsid w:val="00C63E1A"/>
    <w:rsid w:val="00C655A2"/>
    <w:rsid w:val="00C6594E"/>
    <w:rsid w:val="00C8097A"/>
    <w:rsid w:val="00C8426E"/>
    <w:rsid w:val="00C8490B"/>
    <w:rsid w:val="00C92746"/>
    <w:rsid w:val="00C949CE"/>
    <w:rsid w:val="00C950FC"/>
    <w:rsid w:val="00C95F19"/>
    <w:rsid w:val="00CA3F05"/>
    <w:rsid w:val="00CA45FF"/>
    <w:rsid w:val="00CA4D54"/>
    <w:rsid w:val="00CA563C"/>
    <w:rsid w:val="00CA7A0F"/>
    <w:rsid w:val="00CB24EA"/>
    <w:rsid w:val="00CB3EE6"/>
    <w:rsid w:val="00CC70A5"/>
    <w:rsid w:val="00CD0AEE"/>
    <w:rsid w:val="00CD2390"/>
    <w:rsid w:val="00CD6E94"/>
    <w:rsid w:val="00CE3FE8"/>
    <w:rsid w:val="00CE5C55"/>
    <w:rsid w:val="00CF0F5C"/>
    <w:rsid w:val="00CF35F7"/>
    <w:rsid w:val="00CF3EC4"/>
    <w:rsid w:val="00CF4D1F"/>
    <w:rsid w:val="00CF6EBE"/>
    <w:rsid w:val="00D15816"/>
    <w:rsid w:val="00D16C93"/>
    <w:rsid w:val="00D21D0D"/>
    <w:rsid w:val="00D229E0"/>
    <w:rsid w:val="00D23542"/>
    <w:rsid w:val="00D263CC"/>
    <w:rsid w:val="00D33843"/>
    <w:rsid w:val="00D34FC7"/>
    <w:rsid w:val="00D40279"/>
    <w:rsid w:val="00D40474"/>
    <w:rsid w:val="00D407FE"/>
    <w:rsid w:val="00D43B05"/>
    <w:rsid w:val="00D5618C"/>
    <w:rsid w:val="00D60BE0"/>
    <w:rsid w:val="00D60F62"/>
    <w:rsid w:val="00D6324D"/>
    <w:rsid w:val="00D65C56"/>
    <w:rsid w:val="00D662F1"/>
    <w:rsid w:val="00D6755C"/>
    <w:rsid w:val="00D72545"/>
    <w:rsid w:val="00D7363B"/>
    <w:rsid w:val="00D73EBF"/>
    <w:rsid w:val="00D76C1E"/>
    <w:rsid w:val="00D7781C"/>
    <w:rsid w:val="00D77C45"/>
    <w:rsid w:val="00D77F7C"/>
    <w:rsid w:val="00D81D5C"/>
    <w:rsid w:val="00D82366"/>
    <w:rsid w:val="00D8406A"/>
    <w:rsid w:val="00D87A12"/>
    <w:rsid w:val="00D90138"/>
    <w:rsid w:val="00D90142"/>
    <w:rsid w:val="00D90E0E"/>
    <w:rsid w:val="00D9284A"/>
    <w:rsid w:val="00D92CDE"/>
    <w:rsid w:val="00D95377"/>
    <w:rsid w:val="00DA32EF"/>
    <w:rsid w:val="00DA4336"/>
    <w:rsid w:val="00DA7817"/>
    <w:rsid w:val="00DB183D"/>
    <w:rsid w:val="00DB382F"/>
    <w:rsid w:val="00DB4F3A"/>
    <w:rsid w:val="00DC0091"/>
    <w:rsid w:val="00DC0E50"/>
    <w:rsid w:val="00DC2B73"/>
    <w:rsid w:val="00DC3533"/>
    <w:rsid w:val="00DC5939"/>
    <w:rsid w:val="00DC608B"/>
    <w:rsid w:val="00DC6DC2"/>
    <w:rsid w:val="00DC7ECE"/>
    <w:rsid w:val="00DD639E"/>
    <w:rsid w:val="00DE05D0"/>
    <w:rsid w:val="00DE2C5F"/>
    <w:rsid w:val="00DE42AA"/>
    <w:rsid w:val="00DE4CBB"/>
    <w:rsid w:val="00DE6959"/>
    <w:rsid w:val="00DE6E96"/>
    <w:rsid w:val="00DE7F31"/>
    <w:rsid w:val="00E07706"/>
    <w:rsid w:val="00E14BC1"/>
    <w:rsid w:val="00E16B87"/>
    <w:rsid w:val="00E26486"/>
    <w:rsid w:val="00E307D6"/>
    <w:rsid w:val="00E31AD1"/>
    <w:rsid w:val="00E339A9"/>
    <w:rsid w:val="00E37FD4"/>
    <w:rsid w:val="00E4204F"/>
    <w:rsid w:val="00E426C7"/>
    <w:rsid w:val="00E479F6"/>
    <w:rsid w:val="00E47F5D"/>
    <w:rsid w:val="00E53B09"/>
    <w:rsid w:val="00E53F39"/>
    <w:rsid w:val="00E577DC"/>
    <w:rsid w:val="00E6086B"/>
    <w:rsid w:val="00E64B8D"/>
    <w:rsid w:val="00E7765D"/>
    <w:rsid w:val="00E8258C"/>
    <w:rsid w:val="00E82F64"/>
    <w:rsid w:val="00E83938"/>
    <w:rsid w:val="00E84C45"/>
    <w:rsid w:val="00E85040"/>
    <w:rsid w:val="00E868F7"/>
    <w:rsid w:val="00E86E31"/>
    <w:rsid w:val="00E901D4"/>
    <w:rsid w:val="00E9158C"/>
    <w:rsid w:val="00E97B5E"/>
    <w:rsid w:val="00E97FC9"/>
    <w:rsid w:val="00EA0635"/>
    <w:rsid w:val="00EA494C"/>
    <w:rsid w:val="00EC15A9"/>
    <w:rsid w:val="00ED1722"/>
    <w:rsid w:val="00ED6049"/>
    <w:rsid w:val="00EE077F"/>
    <w:rsid w:val="00EF114E"/>
    <w:rsid w:val="00EF7077"/>
    <w:rsid w:val="00F01C1B"/>
    <w:rsid w:val="00F0345E"/>
    <w:rsid w:val="00F05178"/>
    <w:rsid w:val="00F065E8"/>
    <w:rsid w:val="00F107BB"/>
    <w:rsid w:val="00F10F7E"/>
    <w:rsid w:val="00F110E7"/>
    <w:rsid w:val="00F21F4F"/>
    <w:rsid w:val="00F31471"/>
    <w:rsid w:val="00F43C32"/>
    <w:rsid w:val="00F4599F"/>
    <w:rsid w:val="00F536CE"/>
    <w:rsid w:val="00F55A9D"/>
    <w:rsid w:val="00F61772"/>
    <w:rsid w:val="00F625DF"/>
    <w:rsid w:val="00F65D84"/>
    <w:rsid w:val="00F70970"/>
    <w:rsid w:val="00F746FC"/>
    <w:rsid w:val="00F7734D"/>
    <w:rsid w:val="00F77A6A"/>
    <w:rsid w:val="00F8364F"/>
    <w:rsid w:val="00FA1E39"/>
    <w:rsid w:val="00FA2772"/>
    <w:rsid w:val="00FA5DFC"/>
    <w:rsid w:val="00FB6705"/>
    <w:rsid w:val="00FC490B"/>
    <w:rsid w:val="00FC4D7A"/>
    <w:rsid w:val="00FC7D3E"/>
    <w:rsid w:val="00FD2CCC"/>
    <w:rsid w:val="00FD603B"/>
    <w:rsid w:val="00FE30D9"/>
    <w:rsid w:val="00FE7825"/>
    <w:rsid w:val="00FF1A35"/>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题注,Ca,C"/>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Lettre d'introduction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11"/>
      </w:numPr>
    </w:pPr>
  </w:style>
  <w:style w:type="table" w:styleId="TableGrid">
    <w:name w:val="Table Grid"/>
    <w:basedOn w:val="TableNormal"/>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46"/>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7"/>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4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C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55"/>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5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53"/>
      </w:numPr>
    </w:pPr>
  </w:style>
  <w:style w:type="numbering" w:customStyle="1" w:styleId="StyleBulletedSymbolsymbolLeft025Hanging0251">
    <w:name w:val="Style Bulleted Symbol (symbol) Left:  0.25&quot; Hanging:  0.25&quot;1"/>
    <w:basedOn w:val="NoList"/>
    <w:rsid w:val="0074595E"/>
    <w:pPr>
      <w:numPr>
        <w:numId w:val="54"/>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955395">
      <w:bodyDiv w:val="1"/>
      <w:marLeft w:val="0"/>
      <w:marRight w:val="0"/>
      <w:marTop w:val="0"/>
      <w:marBottom w:val="0"/>
      <w:divBdr>
        <w:top w:val="none" w:sz="0" w:space="0" w:color="auto"/>
        <w:left w:val="none" w:sz="0" w:space="0" w:color="auto"/>
        <w:bottom w:val="none" w:sz="0" w:space="0" w:color="auto"/>
        <w:right w:val="none" w:sz="0" w:space="0" w:color="auto"/>
      </w:divBdr>
      <w:divsChild>
        <w:div w:id="2053260748">
          <w:marLeft w:val="0"/>
          <w:marRight w:val="0"/>
          <w:marTop w:val="0"/>
          <w:marBottom w:val="0"/>
          <w:divBdr>
            <w:top w:val="none" w:sz="0" w:space="0" w:color="auto"/>
            <w:left w:val="none" w:sz="0" w:space="0" w:color="auto"/>
            <w:bottom w:val="none" w:sz="0" w:space="0" w:color="auto"/>
            <w:right w:val="none" w:sz="0" w:space="0" w:color="auto"/>
          </w:divBdr>
        </w:div>
      </w:divsChild>
    </w:div>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 w:id="2121993249">
      <w:bodyDiv w:val="1"/>
      <w:marLeft w:val="0"/>
      <w:marRight w:val="0"/>
      <w:marTop w:val="0"/>
      <w:marBottom w:val="0"/>
      <w:divBdr>
        <w:top w:val="none" w:sz="0" w:space="0" w:color="auto"/>
        <w:left w:val="none" w:sz="0" w:space="0" w:color="auto"/>
        <w:bottom w:val="none" w:sz="0" w:space="0" w:color="auto"/>
        <w:right w:val="none" w:sz="0" w:space="0" w:color="auto"/>
      </w:divBdr>
      <w:divsChild>
        <w:div w:id="316496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EC1EA-6F38-4D4E-87E1-2E718EBAC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23</TotalTime>
  <Pages>6</Pages>
  <Words>2918</Words>
  <Characters>16639</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17</cp:revision>
  <dcterms:created xsi:type="dcterms:W3CDTF">2019-11-08T12:57:00Z</dcterms:created>
  <dcterms:modified xsi:type="dcterms:W3CDTF">2019-11-08T13:20:00Z</dcterms:modified>
  <cp:category/>
</cp:coreProperties>
</file>